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ind w:left="402" w:right="2" w:hanging="402" w:hangingChars="200"/>
        <w:rPr>
          <w:rFonts w:ascii="Arial" w:hAnsi="Arial" w:eastAsia="宋体"/>
          <w:b/>
        </w:rPr>
      </w:pPr>
      <w:r>
        <w:rPr>
          <w:rFonts w:hint="eastAsia" w:ascii="Arial" w:hAnsi="Arial" w:eastAsia="宋体"/>
          <w:b/>
          <w:lang w:eastAsia="ja-JP"/>
        </w:rPr>
        <w:t>3GPP TSG RAN WG1 #10</w:t>
      </w:r>
      <w:r>
        <w:rPr>
          <w:rFonts w:hint="eastAsia" w:ascii="Arial" w:hAnsi="Arial" w:eastAsia="宋体"/>
          <w:b/>
        </w:rPr>
        <w:t>2</w:t>
      </w:r>
      <w:r>
        <w:rPr>
          <w:rFonts w:hint="eastAsia" w:ascii="Arial" w:hAnsi="Arial" w:eastAsia="宋体"/>
          <w:b/>
          <w:lang w:eastAsia="ja-JP"/>
        </w:rPr>
        <w:t>-e</w:t>
      </w:r>
      <w:r>
        <w:rPr>
          <w:rFonts w:hint="eastAsia" w:ascii="Arial" w:hAnsi="Arial" w:eastAsia="宋体"/>
          <w:b/>
        </w:rPr>
        <w:tab/>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2005456</w:t>
      </w:r>
    </w:p>
    <w:p>
      <w:pPr>
        <w:tabs>
          <w:tab w:val="center" w:pos="4536"/>
          <w:tab w:val="right" w:pos="8280"/>
          <w:tab w:val="right" w:pos="9639"/>
        </w:tabs>
        <w:snapToGrid w:val="0"/>
        <w:ind w:left="402" w:right="2" w:hanging="402" w:hangingChars="200"/>
        <w:rPr>
          <w:rFonts w:ascii="Arial" w:hAnsi="Arial" w:eastAsia="宋体"/>
          <w:b/>
          <w:lang w:eastAsia="ja-JP"/>
        </w:rPr>
      </w:pPr>
      <w:r>
        <w:rPr>
          <w:rFonts w:hint="eastAsia" w:ascii="Arial" w:hAnsi="Arial" w:eastAsia="宋体"/>
          <w:b/>
          <w:lang w:eastAsia="ja-JP"/>
        </w:rPr>
        <w:t xml:space="preserve">e-Meeting, </w:t>
      </w:r>
      <w:r>
        <w:rPr>
          <w:rFonts w:hint="eastAsia" w:ascii="Arial" w:hAnsi="Arial" w:eastAsia="宋体"/>
          <w:b/>
        </w:rPr>
        <w:t>August</w:t>
      </w:r>
      <w:r>
        <w:rPr>
          <w:rFonts w:hint="eastAsia" w:ascii="Arial" w:hAnsi="Arial" w:eastAsia="宋体"/>
          <w:b/>
          <w:lang w:eastAsia="ja-JP"/>
        </w:rPr>
        <w:t xml:space="preserve"> </w:t>
      </w:r>
      <w:r>
        <w:rPr>
          <w:rFonts w:hint="eastAsia" w:ascii="Arial" w:hAnsi="Arial" w:eastAsia="宋体"/>
          <w:b/>
        </w:rPr>
        <w:t>17</w:t>
      </w:r>
      <w:r>
        <w:rPr>
          <w:rFonts w:hint="eastAsia" w:ascii="Arial" w:hAnsi="Arial" w:eastAsia="宋体"/>
          <w:b/>
          <w:vertAlign w:val="superscript"/>
          <w:lang w:eastAsia="ja-JP"/>
        </w:rPr>
        <w:t>th</w:t>
      </w:r>
      <w:r>
        <w:rPr>
          <w:rFonts w:hint="eastAsia" w:ascii="Arial" w:hAnsi="Arial" w:eastAsia="宋体"/>
          <w:b/>
          <w:lang w:eastAsia="ja-JP"/>
        </w:rPr>
        <w:t>–</w:t>
      </w:r>
      <w:r>
        <w:rPr>
          <w:rFonts w:hint="eastAsia" w:ascii="Arial" w:hAnsi="Arial" w:eastAsia="宋体"/>
          <w:b/>
        </w:rPr>
        <w:t>28</w:t>
      </w:r>
      <w:r>
        <w:rPr>
          <w:rFonts w:hint="eastAsia" w:ascii="Arial" w:hAnsi="Arial" w:eastAsia="宋体"/>
          <w:b/>
          <w:vertAlign w:val="superscript"/>
          <w:lang w:eastAsia="ja-JP"/>
        </w:rPr>
        <w:t>th</w:t>
      </w:r>
      <w:r>
        <w:rPr>
          <w:rFonts w:hint="eastAsia" w:ascii="Arial" w:hAnsi="Arial" w:eastAsia="宋体"/>
          <w:b/>
          <w:lang w:eastAsia="ja-JP"/>
        </w:rPr>
        <w:t>, 2020</w:t>
      </w:r>
    </w:p>
    <w:p>
      <w:pPr>
        <w:pStyle w:val="23"/>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23"/>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rPr>
        <w:t>Discussion on Multi-TRP inter-cell operation</w:t>
      </w:r>
    </w:p>
    <w:p>
      <w:pPr>
        <w:pStyle w:val="23"/>
        <w:tabs>
          <w:tab w:val="left" w:pos="1800"/>
        </w:tabs>
        <w:snapToGrid w:val="0"/>
        <w:rPr>
          <w:rFonts w:ascii="Arial" w:hAnsi="Arial" w:eastAsia="MS Mincho"/>
          <w:bCs w:val="0"/>
          <w:sz w:val="21"/>
          <w:szCs w:val="24"/>
          <w:lang w:eastAsia="en-US"/>
        </w:rPr>
      </w:pPr>
      <w:r>
        <w:rPr>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ascii="Arial" w:hAnsi="Arial" w:eastAsia="MS Mincho"/>
          <w:bCs w:val="0"/>
          <w:sz w:val="21"/>
          <w:szCs w:val="24"/>
          <w:lang w:eastAsia="en-US"/>
        </w:rPr>
        <w:t>8.1.2.2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tabs>
          <w:tab w:val="clear" w:pos="432"/>
        </w:tabs>
        <w:snapToGrid w:val="0"/>
        <w:spacing w:before="180" w:beforeLines="50" w:beforeAutospacing="0" w:after="180" w:afterLines="50" w:afterAutospacing="0" w:line="240" w:lineRule="auto"/>
        <w:ind w:left="431" w:hanging="431"/>
        <w:rPr>
          <w:rFonts w:ascii="Arial" w:hAnsi="Arial"/>
          <w:sz w:val="28"/>
          <w:lang w:val="en-US"/>
        </w:rPr>
      </w:pPr>
      <w:r>
        <w:rPr>
          <w:rFonts w:ascii="Arial" w:hAnsi="Arial"/>
          <w:sz w:val="28"/>
          <w:lang w:val="en-US"/>
        </w:rPr>
        <w:t>Introduction</w:t>
      </w:r>
    </w:p>
    <w:p>
      <w:pPr>
        <w:keepNext w:val="0"/>
        <w:keepLines w:val="0"/>
        <w:pageBreakBefore w:val="0"/>
        <w:widowControl/>
        <w:kinsoku/>
        <w:wordWrap/>
        <w:overflowPunct/>
        <w:topLinePunct w:val="0"/>
        <w:autoSpaceDE/>
        <w:autoSpaceDN/>
        <w:bidi w:val="0"/>
        <w:adjustRightInd/>
        <w:snapToGrid w:val="0"/>
        <w:spacing w:before="181" w:beforeLines="50" w:after="181" w:afterLines="50"/>
        <w:textAlignment w:val="auto"/>
        <w:rPr>
          <w:rFonts w:eastAsia="宋体"/>
        </w:rPr>
      </w:pPr>
      <w:r>
        <w:rPr>
          <w:rFonts w:hint="eastAsia" w:eastAsia="宋体"/>
        </w:rPr>
        <w:t xml:space="preserve"> The following enhancement is included in Rel-17 MIMO WID</w:t>
      </w:r>
      <w:r>
        <w:rPr>
          <w:rFonts w:eastAsia="宋体"/>
        </w:rPr>
        <w:t xml:space="preserve"> </w:t>
      </w:r>
      <w:r>
        <w:rPr>
          <w:rFonts w:hint="eastAsia" w:eastAsia="宋体"/>
        </w:rPr>
        <w:t>[1]</w:t>
      </w:r>
      <w:r>
        <w:rPr>
          <w:rFonts w:eastAsia="宋体"/>
        </w:rPr>
        <w:t xml:space="preserve"> </w:t>
      </w:r>
      <w:r>
        <w:rPr>
          <w:rFonts w:hint="eastAsia" w:eastAsia="宋体"/>
        </w:rPr>
        <w:t>for</w:t>
      </w:r>
      <w:r>
        <w:rPr>
          <w:rFonts w:eastAsia="宋体"/>
        </w:rPr>
        <w:t xml:space="preserve"> multi-TRP transmission</w:t>
      </w:r>
      <w:r>
        <w:rPr>
          <w:rFonts w:hint="eastAsia" w:eastAsia="宋体"/>
        </w:rPr>
        <w:t>.</w:t>
      </w:r>
    </w:p>
    <w:p>
      <w:pPr>
        <w:pStyle w:val="62"/>
        <w:keepNext w:val="0"/>
        <w:keepLines w:val="0"/>
        <w:pageBreakBefore w:val="0"/>
        <w:widowControl/>
        <w:numPr>
          <w:ilvl w:val="1"/>
          <w:numId w:val="4"/>
        </w:numPr>
        <w:kinsoku/>
        <w:wordWrap/>
        <w:overflowPunct/>
        <w:topLinePunct w:val="0"/>
        <w:autoSpaceDE/>
        <w:autoSpaceDN/>
        <w:bidi w:val="0"/>
        <w:adjustRightInd/>
        <w:snapToGrid w:val="0"/>
        <w:spacing w:before="181" w:beforeLines="50" w:after="181" w:afterLines="50"/>
        <w:ind w:left="1800" w:leftChars="0" w:hanging="360"/>
        <w:jc w:val="both"/>
        <w:textAlignment w:val="auto"/>
        <w:rPr>
          <w:i/>
          <w:iCs/>
        </w:rPr>
      </w:pPr>
      <w:r>
        <w:rPr>
          <w:i/>
          <w:iCs/>
        </w:rPr>
        <w:t>Identify and specify QCL/TCI-related enhancements to enable inter-cell multi-TRP operations, assuming multi-DCI based multi-PDSCH reception</w:t>
      </w:r>
    </w:p>
    <w:p>
      <w:pPr>
        <w:keepNext w:val="0"/>
        <w:keepLines w:val="0"/>
        <w:pageBreakBefore w:val="0"/>
        <w:widowControl/>
        <w:kinsoku/>
        <w:wordWrap/>
        <w:overflowPunct/>
        <w:topLinePunct w:val="0"/>
        <w:autoSpaceDE/>
        <w:autoSpaceDN/>
        <w:bidi w:val="0"/>
        <w:adjustRightInd/>
        <w:snapToGrid w:val="0"/>
        <w:spacing w:before="181" w:beforeLines="50" w:after="181" w:afterLines="50"/>
        <w:textAlignment w:val="auto"/>
        <w:rPr>
          <w:rFonts w:eastAsia="宋体"/>
        </w:rPr>
      </w:pPr>
      <w:r>
        <w:rPr>
          <w:rFonts w:hint="eastAsia" w:eastAsia="宋体"/>
        </w:rPr>
        <w:t xml:space="preserve">We provide our proposals about this enhancement in this contribution. </w:t>
      </w:r>
    </w:p>
    <w:p>
      <w:pPr>
        <w:pStyle w:val="2"/>
        <w:tabs>
          <w:tab w:val="clear" w:pos="432"/>
        </w:tabs>
        <w:snapToGrid w:val="0"/>
        <w:spacing w:before="180" w:beforeLines="50" w:beforeAutospacing="0" w:after="180" w:afterLines="50" w:afterAutospacing="0" w:line="240" w:lineRule="auto"/>
        <w:ind w:left="431" w:hanging="431"/>
        <w:rPr>
          <w:rFonts w:ascii="Arial" w:hAnsi="Arial"/>
          <w:sz w:val="28"/>
          <w:lang w:val="en-US"/>
        </w:rPr>
      </w:pPr>
      <w:r>
        <w:rPr>
          <w:rFonts w:hint="eastAsia" w:ascii="Arial" w:hAnsi="Arial"/>
          <w:sz w:val="28"/>
          <w:lang w:val="en-US"/>
        </w:rPr>
        <w:t xml:space="preserve">Discussion </w:t>
      </w:r>
      <w:bookmarkStart w:id="4" w:name="_GoBack"/>
      <w:bookmarkEnd w:id="4"/>
    </w:p>
    <w:p>
      <w:pPr>
        <w:snapToGrid w:val="0"/>
        <w:spacing w:before="180" w:beforeLines="50" w:after="180" w:afterLines="50"/>
        <w:jc w:val="both"/>
        <w:rPr>
          <w:szCs w:val="20"/>
        </w:rPr>
      </w:pPr>
      <w:r>
        <w:rPr>
          <w:rFonts w:hint="eastAsia"/>
          <w:szCs w:val="20"/>
        </w:rPr>
        <w:t>In Rel-15 and 16, if a</w:t>
      </w:r>
      <w:r>
        <w:rPr>
          <w:szCs w:val="20"/>
        </w:rPr>
        <w:t>n</w:t>
      </w:r>
      <w:r>
        <w:rPr>
          <w:rFonts w:hint="eastAsia"/>
          <w:szCs w:val="20"/>
        </w:rPr>
        <w:t xml:space="preserve"> SSB is a QCL-RS, SSB index and serving cell index are configured as shown in 38.331 below. The SSB frequency and PCI </w:t>
      </w:r>
      <w:r>
        <w:rPr>
          <w:szCs w:val="20"/>
        </w:rPr>
        <w:t>are</w:t>
      </w:r>
      <w:r>
        <w:rPr>
          <w:rFonts w:hint="eastAsia"/>
          <w:szCs w:val="20"/>
        </w:rPr>
        <w:t xml:space="preserve"> configured in the </w:t>
      </w:r>
      <w:r>
        <w:rPr>
          <w:rFonts w:hint="eastAsia"/>
          <w:i/>
          <w:iCs/>
          <w:szCs w:val="20"/>
        </w:rPr>
        <w:t>ServingCellConfigCommon</w:t>
      </w:r>
      <w:r>
        <w:rPr>
          <w:rFonts w:hint="eastAsia"/>
          <w:szCs w:val="20"/>
        </w:rPr>
        <w:t>. It means a serving cell is associated with only one physical cell which is represented by SSB frequency location and PCI. So before the UE hands over to a neighbor cell, the SSB of the neighbor cell can</w:t>
      </w:r>
      <w:r>
        <w:rPr>
          <w:szCs w:val="20"/>
        </w:rPr>
        <w:t>’</w:t>
      </w:r>
      <w:r>
        <w:rPr>
          <w:rFonts w:hint="eastAsia"/>
          <w:szCs w:val="20"/>
        </w:rPr>
        <w:t>t be QCL-RS of a target signal although the SSB of the neighbor cell has been measured by the UE during mobility measurement process.</w:t>
      </w:r>
    </w:p>
    <w:p>
      <w:pPr>
        <w:snapToGrid w:val="0"/>
        <w:jc w:val="both"/>
        <w:rPr>
          <w:szCs w:val="20"/>
        </w:rPr>
      </w:pPr>
      <w:r>
        <w:rPr>
          <w:rFonts w:hint="eastAsia"/>
          <w:szCs w:val="20"/>
        </w:rPr>
        <w:t>---------------------------------------------------38.331--------------------------------------------------------------------------------</w:t>
      </w:r>
    </w:p>
    <w:p>
      <w:pPr>
        <w:pStyle w:val="71"/>
        <w:snapToGrid w:val="0"/>
      </w:pPr>
      <w:r>
        <w:t xml:space="preserve">QCL-Info ::=                        </w:t>
      </w:r>
      <w:r>
        <w:rPr>
          <w:color w:val="993366"/>
        </w:rPr>
        <w:t>SEQUENCE</w:t>
      </w:r>
      <w:r>
        <w:t xml:space="preserve"> {</w:t>
      </w:r>
    </w:p>
    <w:p>
      <w:pPr>
        <w:pStyle w:val="71"/>
        <w:snapToGrid w:val="0"/>
        <w:rPr>
          <w:color w:val="808080"/>
        </w:rPr>
      </w:pPr>
      <w:r>
        <w:t xml:space="preserve">    cell                                ServCellIndex                                               </w:t>
      </w:r>
      <w:r>
        <w:rPr>
          <w:color w:val="993366"/>
        </w:rPr>
        <w:t>OPTIONAL</w:t>
      </w:r>
      <w:r>
        <w:t xml:space="preserve">,   </w:t>
      </w:r>
      <w:r>
        <w:rPr>
          <w:color w:val="808080"/>
        </w:rPr>
        <w:t>-- Need R</w:t>
      </w:r>
    </w:p>
    <w:p>
      <w:pPr>
        <w:pStyle w:val="71"/>
        <w:snapToGrid w:val="0"/>
        <w:rPr>
          <w:color w:val="808080"/>
        </w:rPr>
      </w:pPr>
      <w:r>
        <w:t xml:space="preserve">    bwp-Id                              BWP-Id                                                      </w:t>
      </w:r>
      <w:r>
        <w:rPr>
          <w:color w:val="993366"/>
        </w:rPr>
        <w:t>OPTIONAL</w:t>
      </w:r>
      <w:r>
        <w:t xml:space="preserve">, </w:t>
      </w:r>
      <w:r>
        <w:rPr>
          <w:color w:val="808080"/>
        </w:rPr>
        <w:t>-- Cond CSI-RS-Indicated</w:t>
      </w:r>
    </w:p>
    <w:p>
      <w:pPr>
        <w:pStyle w:val="71"/>
        <w:snapToGrid w:val="0"/>
      </w:pPr>
      <w:r>
        <w:t xml:space="preserve">    referenceSignal                     </w:t>
      </w:r>
      <w:r>
        <w:rPr>
          <w:color w:val="993366"/>
        </w:rPr>
        <w:t>CHOICE</w:t>
      </w:r>
      <w:r>
        <w:t xml:space="preserve"> {</w:t>
      </w:r>
    </w:p>
    <w:p>
      <w:pPr>
        <w:pStyle w:val="71"/>
        <w:snapToGrid w:val="0"/>
      </w:pPr>
      <w:r>
        <w:t xml:space="preserve">        csi-rs                              NZP-CSI-RS-ResourceId,</w:t>
      </w:r>
    </w:p>
    <w:p>
      <w:pPr>
        <w:pStyle w:val="71"/>
        <w:snapToGrid w:val="0"/>
      </w:pPr>
      <w:r>
        <w:t xml:space="preserve">        ssb                                 SSB-Index</w:t>
      </w:r>
    </w:p>
    <w:p>
      <w:pPr>
        <w:pStyle w:val="71"/>
        <w:snapToGrid w:val="0"/>
      </w:pPr>
      <w:r>
        <w:t xml:space="preserve">    },</w:t>
      </w:r>
    </w:p>
    <w:p>
      <w:pPr>
        <w:pStyle w:val="71"/>
        <w:snapToGrid w:val="0"/>
      </w:pPr>
      <w:r>
        <w:t xml:space="preserve">    qcl-Type                            </w:t>
      </w:r>
      <w:r>
        <w:rPr>
          <w:color w:val="993366"/>
        </w:rPr>
        <w:t>ENUMERATED</w:t>
      </w:r>
      <w:r>
        <w:t xml:space="preserve"> {typeA, typeB, typeC, typeD},</w:t>
      </w:r>
    </w:p>
    <w:p>
      <w:pPr>
        <w:pStyle w:val="71"/>
        <w:snapToGrid w:val="0"/>
      </w:pPr>
      <w:r>
        <w:t xml:space="preserve">    ...</w:t>
      </w:r>
    </w:p>
    <w:p>
      <w:pPr>
        <w:pStyle w:val="71"/>
        <w:snapToGrid w:val="0"/>
      </w:pPr>
      <w:r>
        <w:t>}</w:t>
      </w:r>
    </w:p>
    <w:p>
      <w:pPr>
        <w:snapToGrid w:val="0"/>
        <w:jc w:val="both"/>
        <w:rPr>
          <w:szCs w:val="20"/>
        </w:rPr>
      </w:pPr>
      <w:r>
        <w:rPr>
          <w:rFonts w:hint="eastAsia"/>
          <w:szCs w:val="20"/>
        </w:rPr>
        <w:t>-------------------------------------------------------------------------------------------------------------------------------------------</w:t>
      </w:r>
    </w:p>
    <w:p>
      <w:pPr>
        <w:snapToGrid w:val="0"/>
        <w:spacing w:before="180" w:beforeLines="50" w:after="180" w:afterLines="50"/>
        <w:jc w:val="both"/>
        <w:rPr>
          <w:szCs w:val="20"/>
        </w:rPr>
      </w:pPr>
      <w:r>
        <w:rPr>
          <w:rFonts w:hint="eastAsia"/>
          <w:szCs w:val="20"/>
        </w:rPr>
        <w:t>For MTRP transmission</w:t>
      </w:r>
      <w:r>
        <w:rPr>
          <w:szCs w:val="20"/>
        </w:rPr>
        <w:t xml:space="preserve"> based on inter-cell deployment</w:t>
      </w:r>
      <w:r>
        <w:rPr>
          <w:rFonts w:hint="eastAsia"/>
          <w:szCs w:val="20"/>
        </w:rPr>
        <w:t xml:space="preserve">, this cause some restrictions since a neighbor cell may transmit PDSCH to UE but its SSB cannot be the QCL source to the PDSCH DM-RS and other reference signals, e.g. TRS. </w:t>
      </w:r>
    </w:p>
    <w:p>
      <w:pPr>
        <w:snapToGrid w:val="0"/>
        <w:spacing w:before="180" w:beforeLines="50" w:after="180" w:afterLines="50"/>
        <w:jc w:val="both"/>
        <w:rPr>
          <w:szCs w:val="20"/>
        </w:rPr>
      </w:pPr>
      <w:r>
        <w:rPr>
          <w:rFonts w:hint="eastAsia"/>
          <w:szCs w:val="20"/>
        </w:rPr>
        <w:t xml:space="preserve">In order to implement inter-cell MTRP well, it should be allowed that SSB configured in TCI state can be either from the physical cell of the serving cell or from the physical cell of the coordinated neighbor cell. </w:t>
      </w:r>
    </w:p>
    <w:p>
      <w:pPr>
        <w:snapToGrid w:val="0"/>
        <w:spacing w:before="180" w:beforeLines="50" w:after="180" w:afterLines="50"/>
        <w:jc w:val="both"/>
        <w:rPr>
          <w:rFonts w:eastAsia="宋体"/>
          <w:b/>
          <w:bCs/>
          <w:i/>
          <w:iCs/>
          <w:szCs w:val="20"/>
        </w:rPr>
      </w:pPr>
      <w:r>
        <w:rPr>
          <w:rFonts w:hint="eastAsia" w:eastAsia="宋体"/>
          <w:b/>
          <w:bCs/>
          <w:i/>
          <w:iCs/>
          <w:szCs w:val="20"/>
        </w:rPr>
        <w:t xml:space="preserve">Proposal 1: </w:t>
      </w:r>
      <w:r>
        <w:rPr>
          <w:rFonts w:hint="eastAsia" w:eastAsia="宋体"/>
          <w:i/>
          <w:iCs/>
          <w:szCs w:val="20"/>
        </w:rPr>
        <w:t>Support that</w:t>
      </w:r>
      <w:r>
        <w:rPr>
          <w:rFonts w:hint="eastAsia"/>
          <w:i/>
          <w:iCs/>
          <w:szCs w:val="20"/>
        </w:rPr>
        <w:t xml:space="preserve"> SSB configured in TCI state can be either from the physical cell of the serving cell or from the physical cell of the coordinated neighbor cell</w:t>
      </w:r>
      <w:r>
        <w:rPr>
          <w:rFonts w:hint="eastAsia" w:eastAsia="宋体"/>
          <w:b/>
          <w:bCs/>
          <w:i/>
          <w:iCs/>
          <w:szCs w:val="20"/>
        </w:rPr>
        <w:t>.</w:t>
      </w:r>
    </w:p>
    <w:p>
      <w:pPr>
        <w:snapToGrid w:val="0"/>
        <w:spacing w:before="180" w:beforeLines="50" w:after="180" w:afterLines="50"/>
        <w:jc w:val="both"/>
        <w:rPr>
          <w:szCs w:val="20"/>
        </w:rPr>
      </w:pPr>
      <w:r>
        <w:rPr>
          <w:rFonts w:hint="eastAsia"/>
          <w:szCs w:val="20"/>
        </w:rPr>
        <w:t xml:space="preserve">If SSB configured in a TCI state is from the physical cell of the serving cell, the SSB information can be achieved by </w:t>
      </w:r>
      <w:r>
        <w:rPr>
          <w:i/>
        </w:rPr>
        <w:t>ServingCellConfigCommon</w:t>
      </w:r>
      <w:r>
        <w:rPr>
          <w:rFonts w:hint="eastAsia" w:eastAsia="宋体"/>
        </w:rPr>
        <w:t xml:space="preserve"> or by initial access procedure, including</w:t>
      </w:r>
      <w:r>
        <w:rPr>
          <w:rFonts w:hint="eastAsia"/>
          <w:szCs w:val="20"/>
        </w:rPr>
        <w:t xml:space="preserve"> PCI(physical cell ID), center frequency, SCS and so on. However, if the SSB is from the physical cell of the coordinated neighbor cell, which/how the SSB information of the physical neighbor cell </w:t>
      </w:r>
      <w:r>
        <w:rPr>
          <w:szCs w:val="20"/>
        </w:rPr>
        <w:t>needs to</w:t>
      </w:r>
      <w:r>
        <w:rPr>
          <w:rFonts w:hint="eastAsia"/>
          <w:szCs w:val="20"/>
        </w:rPr>
        <w:t xml:space="preserve"> be defined </w:t>
      </w:r>
      <w:r>
        <w:rPr>
          <w:szCs w:val="20"/>
        </w:rPr>
        <w:t xml:space="preserve">should be investigated </w:t>
      </w:r>
      <w:r>
        <w:rPr>
          <w:rFonts w:hint="eastAsia"/>
          <w:szCs w:val="20"/>
        </w:rPr>
        <w:t xml:space="preserve">in Rel-17.  </w:t>
      </w:r>
    </w:p>
    <w:p>
      <w:pPr>
        <w:snapToGrid w:val="0"/>
        <w:spacing w:before="180" w:beforeLines="50" w:after="180" w:afterLines="50"/>
        <w:jc w:val="both"/>
        <w:rPr>
          <w:rFonts w:eastAsia="宋体"/>
          <w:b/>
          <w:bCs/>
          <w:i/>
          <w:iCs/>
          <w:szCs w:val="20"/>
        </w:rPr>
      </w:pPr>
      <w:r>
        <w:rPr>
          <w:rFonts w:hint="eastAsia" w:eastAsia="宋体"/>
          <w:b/>
          <w:bCs/>
          <w:i/>
          <w:iCs/>
          <w:szCs w:val="20"/>
        </w:rPr>
        <w:t xml:space="preserve">Proposal 2: </w:t>
      </w:r>
      <w:r>
        <w:rPr>
          <w:rFonts w:hint="eastAsia"/>
          <w:i/>
          <w:iCs/>
          <w:szCs w:val="20"/>
        </w:rPr>
        <w:t xml:space="preserve">If SSB configured in a TCI state is from the physical cell of the coordinated neighbor cell, which/how the SSB information </w:t>
      </w:r>
      <w:r>
        <w:rPr>
          <w:i/>
          <w:iCs/>
          <w:szCs w:val="20"/>
        </w:rPr>
        <w:t>needs to</w:t>
      </w:r>
      <w:r>
        <w:rPr>
          <w:rFonts w:hint="eastAsia"/>
          <w:i/>
          <w:iCs/>
          <w:szCs w:val="20"/>
        </w:rPr>
        <w:t xml:space="preserve"> be defined</w:t>
      </w:r>
      <w:r>
        <w:rPr>
          <w:i/>
          <w:iCs/>
          <w:szCs w:val="20"/>
        </w:rPr>
        <w:t xml:space="preserve"> should be studied</w:t>
      </w:r>
      <w:r>
        <w:rPr>
          <w:rFonts w:hint="eastAsia"/>
          <w:i/>
          <w:iCs/>
          <w:szCs w:val="20"/>
        </w:rPr>
        <w:t xml:space="preserve"> in Rel-17.</w:t>
      </w:r>
    </w:p>
    <w:p>
      <w:pPr>
        <w:snapToGrid w:val="0"/>
        <w:spacing w:before="180" w:beforeLines="50" w:after="180" w:afterLines="50"/>
        <w:jc w:val="both"/>
        <w:rPr>
          <w:rFonts w:eastAsia="宋体"/>
        </w:rPr>
      </w:pPr>
      <w:r>
        <w:rPr>
          <w:rFonts w:hint="eastAsia" w:eastAsia="宋体"/>
          <w:szCs w:val="20"/>
        </w:rPr>
        <w:t xml:space="preserve">In </w:t>
      </w:r>
      <w:r>
        <w:rPr>
          <w:rFonts w:eastAsia="宋体"/>
          <w:szCs w:val="20"/>
        </w:rPr>
        <w:t xml:space="preserve">the </w:t>
      </w:r>
      <w:r>
        <w:rPr>
          <w:rFonts w:hint="eastAsia" w:eastAsia="宋体"/>
          <w:szCs w:val="20"/>
        </w:rPr>
        <w:t>current specific</w:t>
      </w:r>
      <w:r>
        <w:rPr>
          <w:rFonts w:eastAsia="宋体"/>
          <w:szCs w:val="20"/>
        </w:rPr>
        <w:t>ation</w:t>
      </w:r>
      <w:r>
        <w:rPr>
          <w:rFonts w:hint="eastAsia" w:eastAsia="宋体"/>
          <w:szCs w:val="20"/>
        </w:rPr>
        <w:t xml:space="preserve">, </w:t>
      </w:r>
      <w:r>
        <w:rPr>
          <w:rFonts w:hint="eastAsia" w:eastAsia="宋体"/>
          <w:i/>
          <w:iCs/>
          <w:szCs w:val="20"/>
        </w:rPr>
        <w:t>MeasObject</w:t>
      </w:r>
      <w:r>
        <w:rPr>
          <w:rFonts w:hint="eastAsia" w:eastAsia="宋体"/>
          <w:szCs w:val="20"/>
        </w:rPr>
        <w:t xml:space="preserve"> is</w:t>
      </w:r>
      <w:r>
        <w:rPr>
          <w:rFonts w:eastAsia="宋体"/>
          <w:szCs w:val="20"/>
        </w:rPr>
        <w:t xml:space="preserve"> configured</w:t>
      </w:r>
      <w:r>
        <w:rPr>
          <w:rFonts w:hint="eastAsia" w:eastAsia="宋体"/>
          <w:szCs w:val="20"/>
        </w:rPr>
        <w:t xml:space="preserve"> for inter-cell mobility measurement, a </w:t>
      </w:r>
      <w:r>
        <w:rPr>
          <w:rFonts w:hint="eastAsia" w:eastAsia="宋体"/>
          <w:i/>
          <w:iCs/>
          <w:szCs w:val="20"/>
        </w:rPr>
        <w:t>MeasObject</w:t>
      </w:r>
      <w:r>
        <w:rPr>
          <w:rFonts w:hint="eastAsia" w:eastAsia="宋体"/>
          <w:szCs w:val="20"/>
        </w:rPr>
        <w:t xml:space="preserve"> is associated with a</w:t>
      </w:r>
      <w:r>
        <w:rPr>
          <w:rFonts w:eastAsia="宋体"/>
          <w:szCs w:val="20"/>
        </w:rPr>
        <w:t>n</w:t>
      </w:r>
      <w:r>
        <w:rPr>
          <w:rFonts w:hint="eastAsia" w:eastAsia="宋体"/>
          <w:szCs w:val="20"/>
        </w:rPr>
        <w:t xml:space="preserve"> SSB frequency configured by </w:t>
      </w:r>
      <w:r>
        <w:rPr>
          <w:i/>
          <w:iCs/>
        </w:rPr>
        <w:t>ARFCN-ValueNR</w:t>
      </w:r>
      <w:r>
        <w:rPr>
          <w:rFonts w:hint="eastAsia" w:eastAsia="宋体"/>
          <w:szCs w:val="20"/>
        </w:rPr>
        <w:t xml:space="preserve">. The set of  </w:t>
      </w:r>
      <w:r>
        <w:rPr>
          <w:i/>
          <w:iCs/>
        </w:rPr>
        <w:t>ARFCN-ValueNR</w:t>
      </w:r>
      <w:r>
        <w:rPr>
          <w:rFonts w:hint="eastAsia" w:eastAsia="宋体"/>
        </w:rPr>
        <w:t xml:space="preserve"> is predefined for all frequency as shown in Table </w:t>
      </w:r>
      <w:r>
        <w:t>5.4.2.1-1</w:t>
      </w:r>
      <w:r>
        <w:rPr>
          <w:rFonts w:hint="eastAsia" w:eastAsia="宋体"/>
        </w:rPr>
        <w:t xml:space="preserve"> in 38.104. The granularity of  </w:t>
      </w:r>
      <w:r>
        <w:rPr>
          <w:i/>
          <w:iCs/>
        </w:rPr>
        <w:t>ARFCN-ValueNR</w:t>
      </w:r>
      <w:r>
        <w:rPr>
          <w:rFonts w:hint="eastAsia" w:eastAsia="宋体"/>
        </w:rPr>
        <w:t xml:space="preserve"> </w:t>
      </w:r>
      <w:r>
        <w:rPr>
          <w:rFonts w:eastAsia="宋体"/>
        </w:rPr>
        <w:t>can be chosen from</w:t>
      </w:r>
      <w:r>
        <w:rPr>
          <w:rFonts w:hint="eastAsia" w:eastAsia="宋体"/>
        </w:rPr>
        <w:t xml:space="preserve"> {5kHz, 15kHz, 60kHz}. A</w:t>
      </w:r>
      <w:r>
        <w:rPr>
          <w:rFonts w:eastAsia="宋体"/>
        </w:rPr>
        <w:t>n</w:t>
      </w:r>
      <w:r>
        <w:rPr>
          <w:rFonts w:hint="eastAsia" w:eastAsia="宋体"/>
        </w:rPr>
        <w:t xml:space="preserve"> </w:t>
      </w:r>
      <w:r>
        <w:rPr>
          <w:i/>
        </w:rPr>
        <w:t>ARFCN-ValueNR</w:t>
      </w:r>
      <w:r>
        <w:rPr>
          <w:rFonts w:hint="eastAsia" w:eastAsia="宋体"/>
        </w:rPr>
        <w:t xml:space="preserve"> of a </w:t>
      </w:r>
      <w:r>
        <w:rPr>
          <w:rFonts w:hint="eastAsia" w:eastAsia="宋体"/>
          <w:i/>
        </w:rPr>
        <w:t>M</w:t>
      </w:r>
      <w:r>
        <w:rPr>
          <w:rFonts w:hint="eastAsia" w:eastAsia="宋体"/>
          <w:i/>
          <w:szCs w:val="20"/>
        </w:rPr>
        <w:t>easObject</w:t>
      </w:r>
      <w:r>
        <w:rPr>
          <w:rFonts w:hint="eastAsia" w:eastAsia="宋体"/>
          <w:szCs w:val="20"/>
        </w:rPr>
        <w:t xml:space="preserve"> can be any available </w:t>
      </w:r>
      <w:r>
        <w:rPr>
          <w:rFonts w:hint="eastAsia" w:eastAsia="宋体"/>
        </w:rPr>
        <w:t>center frequency. That is, the SSB center frequencies of neighbor cells can be different.</w:t>
      </w:r>
    </w:p>
    <w:p>
      <w:pPr>
        <w:snapToGrid w:val="0"/>
        <w:ind w:firstLine="1200" w:firstLineChars="600"/>
        <w:jc w:val="both"/>
        <w:rPr>
          <w:rFonts w:eastAsia="宋体"/>
        </w:rPr>
      </w:pPr>
    </w:p>
    <w:p>
      <w:pPr>
        <w:snapToGrid w:val="0"/>
        <w:ind w:firstLine="1401" w:firstLineChars="700"/>
        <w:jc w:val="both"/>
        <w:rPr>
          <w:rFonts w:eastAsia="Yu Mincho"/>
          <w:b/>
          <w:bCs/>
        </w:rPr>
      </w:pPr>
      <w:r>
        <w:rPr>
          <w:b/>
          <w:bCs/>
        </w:rPr>
        <w:t xml:space="preserve">Table </w:t>
      </w:r>
      <w:r>
        <w:rPr>
          <w:rFonts w:hint="eastAsia" w:eastAsia="Yu Mincho"/>
          <w:b/>
          <w:bCs/>
        </w:rPr>
        <w:t xml:space="preserve"> </w:t>
      </w:r>
      <w:r>
        <w:rPr>
          <w:rFonts w:eastAsia="Yu Mincho"/>
          <w:b/>
          <w:bCs/>
        </w:rPr>
        <w:t>5.4.2.1-1</w:t>
      </w:r>
      <w:r>
        <w:rPr>
          <w:rFonts w:hint="eastAsia" w:eastAsia="Yu Mincho"/>
          <w:b/>
          <w:bCs/>
        </w:rPr>
        <w:t xml:space="preserve"> in 38.104</w:t>
      </w:r>
      <w:r>
        <w:rPr>
          <w:rFonts w:eastAsia="Yu Mincho"/>
          <w:b/>
          <w:bCs/>
        </w:rPr>
        <w:t xml:space="preserve">: </w:t>
      </w:r>
      <w:r>
        <w:rPr>
          <w:rFonts w:eastAsia="Yu Mincho"/>
          <w:b/>
          <w:bCs/>
        </w:rPr>
        <w:t>NR-ARFCN parameters for the global frequency raster</w:t>
      </w:r>
    </w:p>
    <w:p>
      <w:pPr>
        <w:snapToGrid w:val="0"/>
        <w:ind w:firstLine="1400" w:firstLineChars="700"/>
        <w:jc w:val="both"/>
        <w:rPr>
          <w:rFonts w:eastAsia="Yu Mincho"/>
        </w:rPr>
      </w:pPr>
    </w:p>
    <w:tbl>
      <w:tblPr>
        <w:tblStyle w:val="27"/>
        <w:tblW w:w="83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92" w:type="dxa"/>
            <w:shd w:val="clear" w:color="auto" w:fill="auto"/>
            <w:vAlign w:val="center"/>
          </w:tcPr>
          <w:p>
            <w:pPr>
              <w:pStyle w:val="40"/>
              <w:snapToGrid w:val="0"/>
            </w:pPr>
            <w:r>
              <w:t>Range of frequencies (MHz)</w:t>
            </w:r>
          </w:p>
        </w:tc>
        <w:tc>
          <w:tcPr>
            <w:tcW w:w="1444" w:type="dxa"/>
            <w:shd w:val="clear" w:color="auto" w:fill="auto"/>
            <w:vAlign w:val="center"/>
          </w:tcPr>
          <w:p>
            <w:pPr>
              <w:pStyle w:val="40"/>
              <w:snapToGrid w:val="0"/>
            </w:pPr>
            <w:r>
              <w:t>ΔF</w:t>
            </w:r>
            <w:r>
              <w:rPr>
                <w:vertAlign w:val="subscript"/>
              </w:rPr>
              <w:t>Global</w:t>
            </w:r>
            <w:r>
              <w:t xml:space="preserve"> (kHz)</w:t>
            </w:r>
          </w:p>
        </w:tc>
        <w:tc>
          <w:tcPr>
            <w:tcW w:w="1590" w:type="dxa"/>
            <w:shd w:val="clear" w:color="auto" w:fill="auto"/>
            <w:vAlign w:val="center"/>
          </w:tcPr>
          <w:p>
            <w:pPr>
              <w:pStyle w:val="40"/>
              <w:snapToGrid w:val="0"/>
            </w:pPr>
            <w:r>
              <w:t>F</w:t>
            </w:r>
            <w:r>
              <w:rPr>
                <w:vertAlign w:val="subscript"/>
              </w:rPr>
              <w:t>REF-Offs</w:t>
            </w:r>
            <w:r>
              <w:t xml:space="preserve"> (MHz)</w:t>
            </w:r>
          </w:p>
        </w:tc>
        <w:tc>
          <w:tcPr>
            <w:tcW w:w="1134" w:type="dxa"/>
            <w:shd w:val="clear" w:color="auto" w:fill="auto"/>
            <w:vAlign w:val="center"/>
          </w:tcPr>
          <w:p>
            <w:pPr>
              <w:pStyle w:val="40"/>
              <w:snapToGrid w:val="0"/>
            </w:pPr>
            <w:r>
              <w:t>N</w:t>
            </w:r>
            <w:r>
              <w:rPr>
                <w:vertAlign w:val="subscript"/>
              </w:rPr>
              <w:t>REF-Offs</w:t>
            </w:r>
          </w:p>
        </w:tc>
        <w:tc>
          <w:tcPr>
            <w:tcW w:w="1935" w:type="dxa"/>
            <w:shd w:val="clear" w:color="auto" w:fill="auto"/>
            <w:vAlign w:val="center"/>
          </w:tcPr>
          <w:p>
            <w:pPr>
              <w:pStyle w:val="40"/>
              <w:snapToGrid w:val="0"/>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92" w:type="dxa"/>
            <w:shd w:val="clear" w:color="auto" w:fill="auto"/>
            <w:vAlign w:val="center"/>
          </w:tcPr>
          <w:p>
            <w:pPr>
              <w:pStyle w:val="41"/>
              <w:snapToGrid w:val="0"/>
            </w:pPr>
            <w:r>
              <w:t>0 – 3000</w:t>
            </w:r>
          </w:p>
        </w:tc>
        <w:tc>
          <w:tcPr>
            <w:tcW w:w="1444" w:type="dxa"/>
            <w:shd w:val="clear" w:color="auto" w:fill="auto"/>
            <w:vAlign w:val="center"/>
          </w:tcPr>
          <w:p>
            <w:pPr>
              <w:pStyle w:val="41"/>
              <w:snapToGrid w:val="0"/>
            </w:pPr>
            <w:r>
              <w:t>5</w:t>
            </w:r>
          </w:p>
        </w:tc>
        <w:tc>
          <w:tcPr>
            <w:tcW w:w="1590" w:type="dxa"/>
            <w:shd w:val="clear" w:color="auto" w:fill="auto"/>
            <w:vAlign w:val="center"/>
          </w:tcPr>
          <w:p>
            <w:pPr>
              <w:pStyle w:val="41"/>
              <w:snapToGrid w:val="0"/>
            </w:pPr>
            <w:r>
              <w:t>0</w:t>
            </w:r>
          </w:p>
        </w:tc>
        <w:tc>
          <w:tcPr>
            <w:tcW w:w="1134" w:type="dxa"/>
            <w:shd w:val="clear" w:color="auto" w:fill="auto"/>
            <w:vAlign w:val="center"/>
          </w:tcPr>
          <w:p>
            <w:pPr>
              <w:pStyle w:val="41"/>
              <w:snapToGrid w:val="0"/>
            </w:pPr>
            <w:r>
              <w:t>0</w:t>
            </w:r>
          </w:p>
        </w:tc>
        <w:tc>
          <w:tcPr>
            <w:tcW w:w="1935" w:type="dxa"/>
            <w:shd w:val="clear" w:color="auto" w:fill="auto"/>
            <w:vAlign w:val="center"/>
          </w:tcPr>
          <w:p>
            <w:pPr>
              <w:pStyle w:val="41"/>
              <w:snapToGrid w:val="0"/>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92" w:type="dxa"/>
            <w:shd w:val="clear" w:color="auto" w:fill="auto"/>
            <w:vAlign w:val="center"/>
          </w:tcPr>
          <w:p>
            <w:pPr>
              <w:pStyle w:val="41"/>
              <w:snapToGrid w:val="0"/>
            </w:pPr>
            <w:r>
              <w:t>3000 – 24250</w:t>
            </w:r>
          </w:p>
        </w:tc>
        <w:tc>
          <w:tcPr>
            <w:tcW w:w="1444" w:type="dxa"/>
            <w:shd w:val="clear" w:color="auto" w:fill="auto"/>
            <w:vAlign w:val="center"/>
          </w:tcPr>
          <w:p>
            <w:pPr>
              <w:pStyle w:val="41"/>
              <w:snapToGrid w:val="0"/>
            </w:pPr>
            <w:r>
              <w:t>15</w:t>
            </w:r>
          </w:p>
        </w:tc>
        <w:tc>
          <w:tcPr>
            <w:tcW w:w="1590" w:type="dxa"/>
            <w:shd w:val="clear" w:color="auto" w:fill="auto"/>
            <w:vAlign w:val="center"/>
          </w:tcPr>
          <w:p>
            <w:pPr>
              <w:pStyle w:val="41"/>
              <w:snapToGrid w:val="0"/>
            </w:pPr>
            <w:r>
              <w:t>3000</w:t>
            </w:r>
          </w:p>
        </w:tc>
        <w:tc>
          <w:tcPr>
            <w:tcW w:w="1134" w:type="dxa"/>
            <w:shd w:val="clear" w:color="auto" w:fill="auto"/>
            <w:vAlign w:val="center"/>
          </w:tcPr>
          <w:p>
            <w:pPr>
              <w:pStyle w:val="41"/>
              <w:snapToGrid w:val="0"/>
            </w:pPr>
            <w:r>
              <w:t>600000</w:t>
            </w:r>
          </w:p>
        </w:tc>
        <w:tc>
          <w:tcPr>
            <w:tcW w:w="1935" w:type="dxa"/>
            <w:shd w:val="clear" w:color="auto" w:fill="auto"/>
            <w:vAlign w:val="center"/>
          </w:tcPr>
          <w:p>
            <w:pPr>
              <w:pStyle w:val="41"/>
              <w:snapToGrid w:val="0"/>
            </w:pPr>
            <w:r>
              <w:t>600000 – 2016666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92" w:type="dxa"/>
            <w:shd w:val="clear" w:color="auto" w:fill="auto"/>
            <w:vAlign w:val="center"/>
          </w:tcPr>
          <w:p>
            <w:pPr>
              <w:pStyle w:val="41"/>
              <w:snapToGrid w:val="0"/>
            </w:pPr>
            <w:r>
              <w:t>24250 – 100000</w:t>
            </w:r>
          </w:p>
        </w:tc>
        <w:tc>
          <w:tcPr>
            <w:tcW w:w="1444" w:type="dxa"/>
            <w:shd w:val="clear" w:color="auto" w:fill="auto"/>
            <w:vAlign w:val="center"/>
          </w:tcPr>
          <w:p>
            <w:pPr>
              <w:pStyle w:val="41"/>
              <w:snapToGrid w:val="0"/>
            </w:pPr>
            <w:r>
              <w:t>60</w:t>
            </w:r>
          </w:p>
        </w:tc>
        <w:tc>
          <w:tcPr>
            <w:tcW w:w="1590" w:type="dxa"/>
            <w:shd w:val="clear" w:color="auto" w:fill="auto"/>
            <w:vAlign w:val="center"/>
          </w:tcPr>
          <w:p>
            <w:pPr>
              <w:pStyle w:val="41"/>
              <w:snapToGrid w:val="0"/>
            </w:pPr>
            <w:r>
              <w:t>24250</w:t>
            </w:r>
            <w:r>
              <w:rPr>
                <w:rFonts w:eastAsia="MS Mincho"/>
              </w:rPr>
              <w:t>.08</w:t>
            </w:r>
          </w:p>
        </w:tc>
        <w:tc>
          <w:tcPr>
            <w:tcW w:w="1134" w:type="dxa"/>
            <w:shd w:val="clear" w:color="auto" w:fill="auto"/>
            <w:vAlign w:val="center"/>
          </w:tcPr>
          <w:p>
            <w:pPr>
              <w:pStyle w:val="41"/>
              <w:snapToGrid w:val="0"/>
            </w:pPr>
            <w:r>
              <w:t>2016667</w:t>
            </w:r>
          </w:p>
        </w:tc>
        <w:tc>
          <w:tcPr>
            <w:tcW w:w="1935" w:type="dxa"/>
            <w:shd w:val="clear" w:color="auto" w:fill="auto"/>
            <w:vAlign w:val="center"/>
          </w:tcPr>
          <w:p>
            <w:pPr>
              <w:pStyle w:val="41"/>
              <w:snapToGrid w:val="0"/>
            </w:pPr>
            <w:r>
              <w:t>2016667 – 3279165</w:t>
            </w:r>
          </w:p>
        </w:tc>
      </w:tr>
    </w:tbl>
    <w:p>
      <w:pPr>
        <w:snapToGrid w:val="0"/>
        <w:jc w:val="both"/>
        <w:rPr>
          <w:rFonts w:eastAsia="宋体"/>
          <w:szCs w:val="20"/>
        </w:rPr>
      </w:pPr>
    </w:p>
    <w:p>
      <w:pPr>
        <w:snapToGrid w:val="0"/>
        <w:spacing w:before="180" w:beforeLines="50" w:after="180" w:afterLines="50"/>
        <w:jc w:val="both"/>
        <w:rPr>
          <w:rFonts w:eastAsia="宋体"/>
          <w:szCs w:val="20"/>
        </w:rPr>
      </w:pPr>
      <w:r>
        <w:rPr>
          <w:rFonts w:hint="eastAsia" w:eastAsia="宋体"/>
          <w:szCs w:val="20"/>
        </w:rPr>
        <w:t xml:space="preserve">Therefore, there may be more than one </w:t>
      </w:r>
      <w:r>
        <w:rPr>
          <w:rFonts w:hint="eastAsia" w:eastAsia="宋体"/>
          <w:i/>
          <w:iCs/>
          <w:szCs w:val="20"/>
        </w:rPr>
        <w:t>MeasObjects</w:t>
      </w:r>
      <w:r>
        <w:rPr>
          <w:rFonts w:hint="eastAsia" w:eastAsia="宋体"/>
          <w:szCs w:val="20"/>
        </w:rPr>
        <w:t xml:space="preserve"> in the frequency rang</w:t>
      </w:r>
      <w:r>
        <w:rPr>
          <w:rFonts w:eastAsia="宋体"/>
          <w:szCs w:val="20"/>
        </w:rPr>
        <w:t>e</w:t>
      </w:r>
      <w:r>
        <w:rPr>
          <w:rFonts w:hint="eastAsia" w:eastAsia="宋体"/>
          <w:szCs w:val="20"/>
        </w:rPr>
        <w:t xml:space="preserve"> of a serving cell as shown in Figure 1. Each </w:t>
      </w:r>
      <w:r>
        <w:rPr>
          <w:rFonts w:hint="eastAsia" w:eastAsia="宋体"/>
          <w:i/>
          <w:iCs/>
          <w:szCs w:val="20"/>
        </w:rPr>
        <w:t>MeasObject</w:t>
      </w:r>
      <w:r>
        <w:rPr>
          <w:rFonts w:hint="eastAsia" w:eastAsia="宋体"/>
          <w:szCs w:val="20"/>
        </w:rPr>
        <w:t xml:space="preserve"> corresponds to one </w:t>
      </w:r>
      <w:r>
        <w:rPr>
          <w:i/>
        </w:rPr>
        <w:t>ARFCN-ValueNR</w:t>
      </w:r>
      <w:r>
        <w:rPr>
          <w:rFonts w:hint="eastAsia" w:eastAsia="宋体"/>
        </w:rPr>
        <w:t xml:space="preserve">, and </w:t>
      </w:r>
      <w:r>
        <w:rPr>
          <w:rFonts w:hint="eastAsia" w:eastAsia="宋体"/>
          <w:szCs w:val="20"/>
        </w:rPr>
        <w:t xml:space="preserve">can corresponds to 1008 PCIs. The PCI of different </w:t>
      </w:r>
      <w:r>
        <w:rPr>
          <w:rFonts w:hint="eastAsia" w:eastAsia="宋体"/>
          <w:i/>
          <w:iCs/>
          <w:szCs w:val="20"/>
        </w:rPr>
        <w:t>MeasObjects</w:t>
      </w:r>
      <w:r>
        <w:rPr>
          <w:rFonts w:hint="eastAsia" w:eastAsia="宋体"/>
          <w:szCs w:val="20"/>
        </w:rPr>
        <w:t xml:space="preserve"> are independent and can be the same. For example, in the frequency range of the serving cell of a UE, a</w:t>
      </w:r>
      <w:r>
        <w:rPr>
          <w:rFonts w:eastAsia="宋体"/>
          <w:szCs w:val="20"/>
        </w:rPr>
        <w:t>n</w:t>
      </w:r>
      <w:r>
        <w:rPr>
          <w:rFonts w:hint="eastAsia" w:eastAsia="宋体"/>
          <w:szCs w:val="20"/>
        </w:rPr>
        <w:t xml:space="preserve"> SSB with PCI 10 can be either from Measobject1 or from Measobject2 as shown in Figure 1.  </w:t>
      </w:r>
    </w:p>
    <w:p>
      <w:pPr>
        <w:snapToGrid w:val="0"/>
        <w:spacing w:before="180" w:beforeLines="50" w:after="180" w:afterLines="50"/>
        <w:jc w:val="center"/>
        <w:rPr>
          <w:rFonts w:eastAsia="宋体"/>
        </w:rPr>
      </w:pPr>
      <w:r>
        <w:drawing>
          <wp:inline distT="0" distB="0" distL="114300" distR="114300">
            <wp:extent cx="3867785" cy="1598930"/>
            <wp:effectExtent l="0" t="0" r="1841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3867785" cy="1598930"/>
                    </a:xfrm>
                    <a:prstGeom prst="rect">
                      <a:avLst/>
                    </a:prstGeom>
                    <a:noFill/>
                    <a:ln>
                      <a:noFill/>
                    </a:ln>
                  </pic:spPr>
                </pic:pic>
              </a:graphicData>
            </a:graphic>
          </wp:inline>
        </w:drawing>
      </w:r>
    </w:p>
    <w:p>
      <w:pPr>
        <w:snapToGrid w:val="0"/>
        <w:spacing w:before="180" w:beforeLines="50" w:after="180" w:afterLines="50"/>
        <w:jc w:val="center"/>
        <w:rPr>
          <w:rFonts w:eastAsia="宋体"/>
        </w:rPr>
      </w:pPr>
      <w:r>
        <w:rPr>
          <w:rFonts w:hint="eastAsia" w:eastAsia="宋体"/>
        </w:rPr>
        <w:t>Figure 1. SSBs in different frequency can be with the same PCI</w:t>
      </w:r>
    </w:p>
    <w:p>
      <w:pPr>
        <w:snapToGrid w:val="0"/>
        <w:jc w:val="both"/>
        <w:rPr>
          <w:rFonts w:eastAsia="宋体"/>
          <w:sz w:val="21"/>
          <w:szCs w:val="20"/>
        </w:rPr>
      </w:pPr>
      <w:r>
        <w:rPr>
          <w:rFonts w:hint="eastAsia" w:eastAsia="宋体"/>
          <w:sz w:val="21"/>
          <w:szCs w:val="20"/>
        </w:rPr>
        <w:t>Therefore, to support inter-cell MTRP, if the SSB is from the physical cell of the coordinated neighbor cell, at least the center frequency of the SSB should be informed to UE besides PCI.</w:t>
      </w:r>
    </w:p>
    <w:p>
      <w:pPr>
        <w:snapToGrid w:val="0"/>
        <w:spacing w:before="180" w:beforeLines="50" w:after="180" w:afterLines="50"/>
        <w:jc w:val="both"/>
        <w:rPr>
          <w:rFonts w:eastAsia="宋体"/>
          <w:i/>
          <w:sz w:val="21"/>
          <w:szCs w:val="20"/>
        </w:rPr>
      </w:pPr>
      <w:r>
        <w:rPr>
          <w:rFonts w:hint="eastAsia" w:eastAsia="宋体"/>
          <w:b/>
          <w:i/>
          <w:sz w:val="21"/>
          <w:szCs w:val="20"/>
        </w:rPr>
        <w:t>O</w:t>
      </w:r>
      <w:r>
        <w:rPr>
          <w:rFonts w:eastAsia="宋体"/>
          <w:b/>
          <w:i/>
          <w:sz w:val="21"/>
          <w:szCs w:val="20"/>
        </w:rPr>
        <w:t>bservation:</w:t>
      </w:r>
      <w:r>
        <w:rPr>
          <w:rFonts w:eastAsia="宋体"/>
          <w:i/>
          <w:sz w:val="21"/>
          <w:szCs w:val="20"/>
        </w:rPr>
        <w:t xml:space="preserve"> To indicate the correct SSB from the target neighbor cell, only PCI is not sufficient.</w:t>
      </w:r>
    </w:p>
    <w:p>
      <w:pPr>
        <w:snapToGrid w:val="0"/>
        <w:spacing w:before="180" w:beforeLines="50" w:after="180" w:afterLines="50"/>
        <w:jc w:val="both"/>
        <w:rPr>
          <w:rFonts w:eastAsia="宋体"/>
          <w:sz w:val="21"/>
          <w:szCs w:val="20"/>
        </w:rPr>
      </w:pPr>
      <w:r>
        <w:rPr>
          <w:rFonts w:hint="eastAsia" w:eastAsia="宋体"/>
          <w:sz w:val="21"/>
          <w:szCs w:val="20"/>
        </w:rPr>
        <w:t xml:space="preserve">In addition, SCS (subcarrier spacing) of SSBs in different neighbor cells can also be different. Thus, if the SSB is from the physical cell of the coordinated neighbor cell, SCS of the SSB should be informed to UE as well. </w:t>
      </w:r>
    </w:p>
    <w:p>
      <w:pPr>
        <w:snapToGrid w:val="0"/>
        <w:spacing w:before="180" w:beforeLines="50" w:after="180" w:afterLines="50"/>
        <w:jc w:val="both"/>
        <w:rPr>
          <w:rFonts w:eastAsia="宋体"/>
          <w:sz w:val="21"/>
          <w:szCs w:val="20"/>
        </w:rPr>
      </w:pPr>
      <w:r>
        <w:rPr>
          <w:rFonts w:hint="eastAsia" w:eastAsia="宋体"/>
          <w:sz w:val="21"/>
          <w:szCs w:val="20"/>
        </w:rPr>
        <w:t xml:space="preserve">Since all SSB information of the potential neighbor cells are configured in </w:t>
      </w:r>
      <w:r>
        <w:rPr>
          <w:rFonts w:hint="eastAsia" w:eastAsia="宋体"/>
          <w:i/>
          <w:iCs/>
          <w:szCs w:val="20"/>
        </w:rPr>
        <w:t>MeasObject</w:t>
      </w:r>
      <w:r>
        <w:rPr>
          <w:rFonts w:hint="eastAsia" w:eastAsia="宋体"/>
          <w:sz w:val="21"/>
          <w:szCs w:val="20"/>
        </w:rPr>
        <w:t xml:space="preserve">, some other information configured in </w:t>
      </w:r>
      <w:r>
        <w:rPr>
          <w:rFonts w:hint="eastAsia" w:eastAsia="宋体"/>
          <w:i/>
          <w:iCs/>
          <w:szCs w:val="20"/>
        </w:rPr>
        <w:t xml:space="preserve">MeasObject </w:t>
      </w:r>
      <w:r>
        <w:rPr>
          <w:rFonts w:hint="eastAsia" w:eastAsia="宋体"/>
          <w:sz w:val="21"/>
          <w:szCs w:val="20"/>
        </w:rPr>
        <w:t>can be further considered.</w:t>
      </w:r>
    </w:p>
    <w:p>
      <w:pPr>
        <w:overflowPunct w:val="0"/>
        <w:autoSpaceDE w:val="0"/>
        <w:autoSpaceDN w:val="0"/>
        <w:adjustRightInd w:val="0"/>
        <w:snapToGrid w:val="0"/>
        <w:spacing w:before="180" w:beforeLines="50" w:after="180" w:afterLines="50"/>
        <w:ind w:left="1004" w:hanging="1004" w:hangingChars="500"/>
        <w:jc w:val="both"/>
        <w:textAlignment w:val="baseline"/>
        <w:rPr>
          <w:rFonts w:eastAsia="宋体"/>
        </w:rPr>
      </w:pPr>
      <w:r>
        <w:rPr>
          <w:rFonts w:hint="eastAsia" w:eastAsia="宋体"/>
          <w:b/>
          <w:bCs/>
          <w:i/>
          <w:iCs/>
          <w:szCs w:val="20"/>
        </w:rPr>
        <w:t>Proposal 3:</w:t>
      </w:r>
      <w:r>
        <w:rPr>
          <w:rFonts w:hint="eastAsia" w:eastAsia="宋体"/>
          <w:i/>
          <w:iCs/>
          <w:szCs w:val="20"/>
        </w:rPr>
        <w:t xml:space="preserve"> I</w:t>
      </w:r>
      <w:r>
        <w:rPr>
          <w:rFonts w:hint="eastAsia" w:eastAsia="宋体"/>
          <w:i/>
          <w:iCs/>
          <w:sz w:val="21"/>
          <w:szCs w:val="20"/>
        </w:rPr>
        <w:t>f a</w:t>
      </w:r>
      <w:r>
        <w:rPr>
          <w:rFonts w:eastAsia="宋体"/>
          <w:i/>
          <w:iCs/>
          <w:sz w:val="21"/>
          <w:szCs w:val="20"/>
        </w:rPr>
        <w:t>n</w:t>
      </w:r>
      <w:r>
        <w:rPr>
          <w:rFonts w:hint="eastAsia" w:eastAsia="宋体"/>
          <w:i/>
          <w:iCs/>
          <w:sz w:val="21"/>
          <w:szCs w:val="20"/>
        </w:rPr>
        <w:t xml:space="preserve"> SSB configured in a TCI state is from the physical cell of the coordinated neighbor cell,  at least the SSB frequency and PCI should be informed to UE. Some other information, like SCS</w:t>
      </w:r>
      <w:r>
        <w:rPr>
          <w:rFonts w:eastAsia="宋体"/>
          <w:i/>
          <w:iCs/>
          <w:sz w:val="21"/>
          <w:szCs w:val="20"/>
        </w:rPr>
        <w:t>,</w:t>
      </w:r>
      <w:r>
        <w:rPr>
          <w:rFonts w:hint="eastAsia" w:eastAsia="宋体"/>
          <w:i/>
          <w:iCs/>
          <w:sz w:val="21"/>
          <w:szCs w:val="20"/>
        </w:rPr>
        <w:t xml:space="preserve"> </w:t>
      </w:r>
      <w:r>
        <w:rPr>
          <w:rFonts w:eastAsia="宋体"/>
          <w:i/>
          <w:iCs/>
          <w:sz w:val="21"/>
          <w:szCs w:val="20"/>
        </w:rPr>
        <w:t>may</w:t>
      </w:r>
      <w:r>
        <w:rPr>
          <w:rFonts w:hint="eastAsia" w:eastAsia="宋体"/>
          <w:i/>
          <w:iCs/>
          <w:sz w:val="21"/>
          <w:szCs w:val="20"/>
        </w:rPr>
        <w:t xml:space="preserve"> also be </w:t>
      </w:r>
      <w:r>
        <w:rPr>
          <w:rFonts w:eastAsia="宋体"/>
          <w:i/>
          <w:iCs/>
          <w:sz w:val="21"/>
          <w:szCs w:val="20"/>
        </w:rPr>
        <w:t>needed</w:t>
      </w:r>
      <w:r>
        <w:rPr>
          <w:rFonts w:hint="eastAsia" w:eastAsia="宋体"/>
          <w:i/>
          <w:iCs/>
          <w:sz w:val="21"/>
          <w:szCs w:val="20"/>
        </w:rPr>
        <w:t>.</w:t>
      </w:r>
    </w:p>
    <w:p>
      <w:pPr>
        <w:snapToGrid w:val="0"/>
        <w:ind w:left="1000" w:hanging="1000" w:hangingChars="500"/>
        <w:rPr>
          <w:rFonts w:eastAsia="宋体"/>
        </w:rPr>
      </w:pPr>
    </w:p>
    <w:p>
      <w:pPr>
        <w:pStyle w:val="2"/>
        <w:tabs>
          <w:tab w:val="clear" w:pos="432"/>
        </w:tabs>
        <w:snapToGrid w:val="0"/>
        <w:spacing w:before="180" w:beforeLines="50" w:beforeAutospacing="0" w:after="180" w:afterLines="50" w:afterAutospacing="0" w:line="240" w:lineRule="auto"/>
        <w:ind w:left="431" w:hanging="431"/>
        <w:rPr>
          <w:rFonts w:ascii="Arial" w:hAnsi="Arial"/>
          <w:sz w:val="28"/>
          <w:lang w:val="en-US"/>
        </w:rPr>
      </w:pPr>
      <w:r>
        <w:rPr>
          <w:rFonts w:ascii="Arial" w:hAnsi="Arial"/>
          <w:sz w:val="28"/>
          <w:lang w:val="en-US"/>
        </w:rPr>
        <w:t>Conclusions</w:t>
      </w:r>
    </w:p>
    <w:p>
      <w:pPr>
        <w:snapToGrid w:val="0"/>
        <w:spacing w:before="120" w:after="180" w:afterLines="50"/>
        <w:jc w:val="both"/>
        <w:rPr>
          <w:rFonts w:eastAsia="微软雅黑"/>
          <w:szCs w:val="20"/>
        </w:rPr>
      </w:pPr>
      <w:r>
        <w:rPr>
          <w:rFonts w:hint="eastAsia" w:eastAsia="微软雅黑"/>
          <w:szCs w:val="20"/>
        </w:rPr>
        <w:t xml:space="preserve">Based on </w:t>
      </w:r>
      <w:r>
        <w:rPr>
          <w:rFonts w:eastAsia="微软雅黑"/>
          <w:szCs w:val="20"/>
        </w:rPr>
        <w:t xml:space="preserve">the </w:t>
      </w:r>
      <w:r>
        <w:rPr>
          <w:rFonts w:hint="eastAsia" w:eastAsia="微软雅黑"/>
          <w:szCs w:val="20"/>
        </w:rPr>
        <w:t xml:space="preserve">above discussion, we have following </w:t>
      </w:r>
      <w:r>
        <w:rPr>
          <w:rFonts w:eastAsia="微软雅黑"/>
          <w:szCs w:val="20"/>
        </w:rPr>
        <w:t>observation and proposals.</w:t>
      </w:r>
    </w:p>
    <w:p>
      <w:pPr>
        <w:snapToGrid w:val="0"/>
        <w:spacing w:before="180" w:beforeLines="50" w:after="180" w:afterLines="50"/>
        <w:jc w:val="both"/>
        <w:rPr>
          <w:szCs w:val="20"/>
        </w:rPr>
      </w:pPr>
      <w:r>
        <w:rPr>
          <w:rFonts w:hint="eastAsia" w:eastAsia="宋体"/>
          <w:b/>
          <w:bCs/>
          <w:i/>
          <w:iCs/>
          <w:szCs w:val="20"/>
        </w:rPr>
        <w:t xml:space="preserve">Proposal 1: </w:t>
      </w:r>
      <w:r>
        <w:rPr>
          <w:rFonts w:hint="eastAsia" w:eastAsia="宋体"/>
          <w:i/>
          <w:iCs/>
          <w:szCs w:val="20"/>
        </w:rPr>
        <w:t>Support that</w:t>
      </w:r>
      <w:r>
        <w:rPr>
          <w:rFonts w:hint="eastAsia"/>
          <w:i/>
          <w:iCs/>
          <w:szCs w:val="20"/>
        </w:rPr>
        <w:t xml:space="preserve"> SSB configured in TCI state can be either from the physical cell of the serving cell or from the physical cell of the coordinated neighbor cell</w:t>
      </w:r>
      <w:r>
        <w:rPr>
          <w:rFonts w:hint="eastAsia" w:eastAsia="宋体"/>
          <w:b/>
          <w:bCs/>
          <w:i/>
          <w:iCs/>
          <w:szCs w:val="20"/>
        </w:rPr>
        <w:t>.</w:t>
      </w:r>
      <w:r>
        <w:rPr>
          <w:rFonts w:hint="eastAsia"/>
          <w:szCs w:val="20"/>
        </w:rPr>
        <w:t xml:space="preserve">  </w:t>
      </w:r>
    </w:p>
    <w:p>
      <w:pPr>
        <w:snapToGrid w:val="0"/>
        <w:spacing w:before="180" w:beforeLines="50" w:after="180" w:afterLines="50"/>
        <w:jc w:val="both"/>
        <w:rPr>
          <w:rFonts w:eastAsia="宋体"/>
          <w:b/>
          <w:bCs/>
          <w:i/>
          <w:iCs/>
          <w:szCs w:val="20"/>
        </w:rPr>
      </w:pPr>
      <w:r>
        <w:rPr>
          <w:rFonts w:hint="eastAsia" w:eastAsia="宋体"/>
          <w:b/>
          <w:bCs/>
          <w:i/>
          <w:iCs/>
          <w:szCs w:val="20"/>
        </w:rPr>
        <w:t xml:space="preserve">Proposal 2: </w:t>
      </w:r>
      <w:r>
        <w:rPr>
          <w:rFonts w:hint="eastAsia"/>
          <w:i/>
          <w:iCs/>
          <w:szCs w:val="20"/>
        </w:rPr>
        <w:t xml:space="preserve">If SSB configured in a TCI state is from the physical cell of the coordinated neighbor cell, which/how the SSB information </w:t>
      </w:r>
      <w:r>
        <w:rPr>
          <w:i/>
          <w:iCs/>
          <w:szCs w:val="20"/>
        </w:rPr>
        <w:t>needs to</w:t>
      </w:r>
      <w:r>
        <w:rPr>
          <w:rFonts w:hint="eastAsia"/>
          <w:i/>
          <w:iCs/>
          <w:szCs w:val="20"/>
        </w:rPr>
        <w:t xml:space="preserve"> be defined</w:t>
      </w:r>
      <w:r>
        <w:rPr>
          <w:i/>
          <w:iCs/>
          <w:szCs w:val="20"/>
        </w:rPr>
        <w:t xml:space="preserve"> should be studied</w:t>
      </w:r>
      <w:r>
        <w:rPr>
          <w:rFonts w:hint="eastAsia"/>
          <w:i/>
          <w:iCs/>
          <w:szCs w:val="20"/>
        </w:rPr>
        <w:t xml:space="preserve"> in Rel-17.</w:t>
      </w:r>
    </w:p>
    <w:p>
      <w:pPr>
        <w:snapToGrid w:val="0"/>
        <w:spacing w:before="180" w:beforeLines="50" w:after="180" w:afterLines="50"/>
        <w:jc w:val="both"/>
        <w:rPr>
          <w:rFonts w:hint="eastAsia"/>
          <w:i/>
          <w:iCs/>
          <w:szCs w:val="20"/>
        </w:rPr>
      </w:pPr>
      <w:r>
        <w:rPr>
          <w:rFonts w:hint="eastAsia" w:eastAsia="宋体"/>
          <w:b/>
          <w:i/>
          <w:sz w:val="21"/>
          <w:szCs w:val="20"/>
        </w:rPr>
        <w:t>O</w:t>
      </w:r>
      <w:r>
        <w:rPr>
          <w:rFonts w:eastAsia="宋体"/>
          <w:b/>
          <w:i/>
          <w:sz w:val="21"/>
          <w:szCs w:val="20"/>
        </w:rPr>
        <w:t>bservation:</w:t>
      </w:r>
      <w:r>
        <w:rPr>
          <w:rFonts w:eastAsia="宋体"/>
          <w:i/>
          <w:sz w:val="21"/>
          <w:szCs w:val="20"/>
        </w:rPr>
        <w:t xml:space="preserve"> To indicate the correct SSB from the target neighbor cell, only PCI is not sufficient.</w:t>
      </w:r>
    </w:p>
    <w:p>
      <w:pPr>
        <w:overflowPunct w:val="0"/>
        <w:autoSpaceDE w:val="0"/>
        <w:autoSpaceDN w:val="0"/>
        <w:adjustRightInd w:val="0"/>
        <w:snapToGrid w:val="0"/>
        <w:spacing w:before="180" w:beforeLines="50" w:after="180" w:afterLines="50"/>
        <w:ind w:left="1004" w:hanging="1004" w:hangingChars="500"/>
        <w:jc w:val="both"/>
        <w:textAlignment w:val="baseline"/>
        <w:rPr>
          <w:rFonts w:eastAsia="宋体"/>
        </w:rPr>
      </w:pPr>
      <w:r>
        <w:rPr>
          <w:rFonts w:hint="eastAsia" w:eastAsia="宋体"/>
          <w:b/>
          <w:bCs/>
          <w:i/>
          <w:iCs/>
          <w:szCs w:val="20"/>
        </w:rPr>
        <w:t>Proposal 3:</w:t>
      </w:r>
      <w:r>
        <w:rPr>
          <w:rFonts w:hint="eastAsia" w:eastAsia="宋体"/>
          <w:i/>
          <w:iCs/>
          <w:szCs w:val="20"/>
        </w:rPr>
        <w:t xml:space="preserve"> I</w:t>
      </w:r>
      <w:r>
        <w:rPr>
          <w:rFonts w:hint="eastAsia" w:eastAsia="宋体"/>
          <w:i/>
          <w:iCs/>
          <w:sz w:val="21"/>
          <w:szCs w:val="20"/>
        </w:rPr>
        <w:t>f a</w:t>
      </w:r>
      <w:r>
        <w:rPr>
          <w:rFonts w:eastAsia="宋体"/>
          <w:i/>
          <w:iCs/>
          <w:sz w:val="21"/>
          <w:szCs w:val="20"/>
        </w:rPr>
        <w:t>n</w:t>
      </w:r>
      <w:r>
        <w:rPr>
          <w:rFonts w:hint="eastAsia" w:eastAsia="宋体"/>
          <w:i/>
          <w:iCs/>
          <w:sz w:val="21"/>
          <w:szCs w:val="20"/>
        </w:rPr>
        <w:t xml:space="preserve"> SSB configured in a TCI state is from the physical cell of the coordinated neighbor cell,  at least the SSB frequency and PCI should be informed to UE. Some other information, like SCS</w:t>
      </w:r>
      <w:r>
        <w:rPr>
          <w:rFonts w:eastAsia="宋体"/>
          <w:i/>
          <w:iCs/>
          <w:sz w:val="21"/>
          <w:szCs w:val="20"/>
        </w:rPr>
        <w:t>,</w:t>
      </w:r>
      <w:r>
        <w:rPr>
          <w:rFonts w:hint="eastAsia" w:eastAsia="宋体"/>
          <w:i/>
          <w:iCs/>
          <w:sz w:val="21"/>
          <w:szCs w:val="20"/>
        </w:rPr>
        <w:t xml:space="preserve"> </w:t>
      </w:r>
      <w:r>
        <w:rPr>
          <w:rFonts w:eastAsia="宋体"/>
          <w:i/>
          <w:iCs/>
          <w:sz w:val="21"/>
          <w:szCs w:val="20"/>
        </w:rPr>
        <w:t>may</w:t>
      </w:r>
      <w:r>
        <w:rPr>
          <w:rFonts w:hint="eastAsia" w:eastAsia="宋体"/>
          <w:i/>
          <w:iCs/>
          <w:sz w:val="21"/>
          <w:szCs w:val="20"/>
        </w:rPr>
        <w:t xml:space="preserve"> also be </w:t>
      </w:r>
      <w:r>
        <w:rPr>
          <w:rFonts w:eastAsia="宋体"/>
          <w:i/>
          <w:iCs/>
          <w:sz w:val="21"/>
          <w:szCs w:val="20"/>
        </w:rPr>
        <w:t>needed</w:t>
      </w:r>
      <w:r>
        <w:rPr>
          <w:rFonts w:hint="eastAsia" w:eastAsia="宋体"/>
          <w:i/>
          <w:iCs/>
          <w:sz w:val="21"/>
          <w:szCs w:val="20"/>
        </w:rPr>
        <w:t>.</w:t>
      </w:r>
      <w:r>
        <w:rPr>
          <w:rFonts w:hint="eastAsia" w:eastAsia="宋体"/>
          <w:b/>
          <w:bCs/>
          <w:i/>
          <w:iCs/>
          <w:szCs w:val="20"/>
        </w:rPr>
        <w:t xml:space="preserve"> </w:t>
      </w:r>
    </w:p>
    <w:p>
      <w:pPr>
        <w:pStyle w:val="2"/>
        <w:tabs>
          <w:tab w:val="clear" w:pos="432"/>
        </w:tabs>
        <w:snapToGrid w:val="0"/>
        <w:spacing w:before="180" w:beforeLines="50" w:beforeAutospacing="0" w:after="180" w:afterLines="50" w:afterAutospacing="0" w:line="240" w:lineRule="auto"/>
        <w:ind w:left="431" w:hanging="431"/>
        <w:rPr>
          <w:rFonts w:ascii="Arial" w:hAnsi="Arial"/>
          <w:sz w:val="28"/>
          <w:lang w:val="en-US"/>
        </w:rPr>
      </w:pPr>
      <w:r>
        <w:rPr>
          <w:rFonts w:ascii="Arial" w:hAnsi="Arial"/>
          <w:sz w:val="28"/>
          <w:lang w:val="en-US"/>
        </w:rPr>
        <w:t>References</w:t>
      </w:r>
      <w:bookmarkStart w:id="1" w:name="_Ref446507216"/>
      <w:bookmarkEnd w:id="1"/>
      <w:bookmarkStart w:id="2" w:name="_Ref446511358"/>
      <w:bookmarkEnd w:id="2"/>
      <w:bookmarkStart w:id="3" w:name="_Ref446506608"/>
      <w:bookmarkEnd w:id="3"/>
    </w:p>
    <w:p>
      <w:pPr>
        <w:numPr>
          <w:ilvl w:val="0"/>
          <w:numId w:val="5"/>
        </w:numPr>
        <w:snapToGrid w:val="0"/>
        <w:jc w:val="both"/>
        <w:rPr>
          <w:rFonts w:eastAsia="宋体"/>
        </w:rPr>
      </w:pPr>
      <w:r>
        <w:rPr>
          <w:rFonts w:hint="eastAsia"/>
          <w:szCs w:val="20"/>
        </w:rPr>
        <w:t>RP-193133 WID proposal FeMIMO</w:t>
      </w:r>
      <w:r>
        <w:rPr>
          <w:szCs w:val="20"/>
        </w:rPr>
        <w:t xml:space="preserve">, 3GPP </w:t>
      </w:r>
      <w:r>
        <w:rPr>
          <w:rFonts w:hint="eastAsia"/>
          <w:szCs w:val="20"/>
        </w:rPr>
        <w:t>RAN</w:t>
      </w:r>
      <w:r>
        <w:rPr>
          <w:rFonts w:hint="eastAsia" w:eastAsia="宋体"/>
          <w:szCs w:val="20"/>
        </w:rPr>
        <w:t xml:space="preserve"> </w:t>
      </w:r>
      <w:r>
        <w:rPr>
          <w:szCs w:val="20"/>
        </w:rPr>
        <w:t>#</w:t>
      </w:r>
      <w:r>
        <w:rPr>
          <w:rFonts w:hint="eastAsia" w:eastAsia="宋体"/>
          <w:szCs w:val="20"/>
        </w:rPr>
        <w:t>86</w:t>
      </w: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B31DFA"/>
    <w:multiLevelType w:val="multilevel"/>
    <w:tmpl w:val="DBB31DFA"/>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60D3FFB"/>
    <w:multiLevelType w:val="multilevel"/>
    <w:tmpl w:val="060D3FFB"/>
    <w:lvl w:ilvl="0" w:tentative="0">
      <w:start w:val="1"/>
      <w:numFmt w:val="bullet"/>
      <w:pStyle w:val="7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3">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22B3F28"/>
    <w:multiLevelType w:val="multilevel"/>
    <w:tmpl w:val="422B3F28"/>
    <w:lvl w:ilvl="0" w:tentative="0">
      <w:start w:val="1"/>
      <w:numFmt w:val="decimal"/>
      <w:lvlText w:val="%1."/>
      <w:lvlJc w:val="left"/>
      <w:pPr>
        <w:ind w:left="1080" w:hanging="360"/>
      </w:pPr>
      <w:rPr>
        <w:rFonts w:hint="default"/>
      </w:rPr>
    </w:lvl>
    <w:lvl w:ilvl="1" w:tentative="0">
      <w:start w:val="2"/>
      <w:numFmt w:val="lowerLetter"/>
      <w:lvlText w:val="%2."/>
      <w:lvlJc w:val="left"/>
      <w:pPr>
        <w:ind w:left="1800" w:hanging="360"/>
      </w:pPr>
      <w:rPr>
        <w:rFonts w:hint="eastAsia"/>
      </w:rPr>
    </w:lvl>
    <w:lvl w:ilvl="2" w:tentative="0">
      <w:start w:val="1"/>
      <w:numFmt w:val="lowerRoman"/>
      <w:lvlText w:val="%3."/>
      <w:lvlJc w:val="right"/>
      <w:pPr>
        <w:ind w:left="2520" w:hanging="180"/>
      </w:pPr>
      <w:rPr>
        <w:rFonts w:hint="eastAsia"/>
      </w:rPr>
    </w:lvl>
    <w:lvl w:ilvl="3" w:tentative="0">
      <w:start w:val="1"/>
      <w:numFmt w:val="decimal"/>
      <w:lvlText w:val="%4."/>
      <w:lvlJc w:val="left"/>
      <w:pPr>
        <w:ind w:left="3240" w:hanging="360"/>
      </w:pPr>
      <w:rPr>
        <w:rFonts w:hint="eastAsia"/>
      </w:rPr>
    </w:lvl>
    <w:lvl w:ilvl="4" w:tentative="0">
      <w:start w:val="1"/>
      <w:numFmt w:val="lowerLetter"/>
      <w:lvlText w:val="%5."/>
      <w:lvlJc w:val="left"/>
      <w:pPr>
        <w:ind w:left="3960" w:hanging="360"/>
      </w:pPr>
      <w:rPr>
        <w:rFonts w:hint="eastAsia"/>
      </w:rPr>
    </w:lvl>
    <w:lvl w:ilvl="5" w:tentative="0">
      <w:start w:val="1"/>
      <w:numFmt w:val="lowerRoman"/>
      <w:lvlText w:val="%6."/>
      <w:lvlJc w:val="right"/>
      <w:pPr>
        <w:ind w:left="4680" w:hanging="180"/>
      </w:pPr>
      <w:rPr>
        <w:rFonts w:hint="eastAsia"/>
      </w:rPr>
    </w:lvl>
    <w:lvl w:ilvl="6" w:tentative="0">
      <w:start w:val="1"/>
      <w:numFmt w:val="decimal"/>
      <w:lvlText w:val="%7."/>
      <w:lvlJc w:val="left"/>
      <w:pPr>
        <w:ind w:left="5400" w:hanging="360"/>
      </w:pPr>
      <w:rPr>
        <w:rFonts w:hint="eastAsia"/>
      </w:rPr>
    </w:lvl>
    <w:lvl w:ilvl="7" w:tentative="0">
      <w:start w:val="1"/>
      <w:numFmt w:val="lowerLetter"/>
      <w:lvlText w:val="%8."/>
      <w:lvlJc w:val="left"/>
      <w:pPr>
        <w:ind w:left="6120" w:hanging="360"/>
      </w:pPr>
      <w:rPr>
        <w:rFonts w:hint="eastAsia"/>
      </w:rPr>
    </w:lvl>
    <w:lvl w:ilvl="8" w:tentative="0">
      <w:start w:val="1"/>
      <w:numFmt w:val="lowerRoman"/>
      <w:lvlText w:val="%9."/>
      <w:lvlJc w:val="right"/>
      <w:pPr>
        <w:ind w:left="6840" w:hanging="180"/>
      </w:pPr>
      <w:rPr>
        <w:rFonts w:hint="eastAsia"/>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110"/>
  <w:noPunctuationKerning w:val="1"/>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94B"/>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9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BD7"/>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46"/>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2E3"/>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5EE3"/>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A6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7"/>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20"/>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1BA"/>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D63"/>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A7"/>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AE0"/>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DD2"/>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A71"/>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2D1"/>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66"/>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ABA"/>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B4F"/>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BC"/>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2F78"/>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07"/>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7A2"/>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116"/>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80"/>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1FA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DE8"/>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737"/>
    <w:rsid w:val="00D40766"/>
    <w:rsid w:val="00D40D83"/>
    <w:rsid w:val="00D41318"/>
    <w:rsid w:val="00D4138A"/>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431"/>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6CA1"/>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888"/>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46"/>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108"/>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615"/>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385"/>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DD0"/>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2B3030"/>
    <w:rsid w:val="013D6F71"/>
    <w:rsid w:val="015F734B"/>
    <w:rsid w:val="01636D41"/>
    <w:rsid w:val="01651E70"/>
    <w:rsid w:val="01780E1F"/>
    <w:rsid w:val="018C705C"/>
    <w:rsid w:val="01963534"/>
    <w:rsid w:val="019863D8"/>
    <w:rsid w:val="01AD105E"/>
    <w:rsid w:val="01B85CFE"/>
    <w:rsid w:val="01EC5904"/>
    <w:rsid w:val="020B64C6"/>
    <w:rsid w:val="0210087D"/>
    <w:rsid w:val="024922D4"/>
    <w:rsid w:val="0254496F"/>
    <w:rsid w:val="02590ECE"/>
    <w:rsid w:val="0263075E"/>
    <w:rsid w:val="02816A16"/>
    <w:rsid w:val="02911C0E"/>
    <w:rsid w:val="02B23334"/>
    <w:rsid w:val="02CB318E"/>
    <w:rsid w:val="02E60F49"/>
    <w:rsid w:val="02F75AF2"/>
    <w:rsid w:val="02FA772F"/>
    <w:rsid w:val="030628EF"/>
    <w:rsid w:val="032979AF"/>
    <w:rsid w:val="033624DF"/>
    <w:rsid w:val="03574F65"/>
    <w:rsid w:val="035A17B2"/>
    <w:rsid w:val="0364021E"/>
    <w:rsid w:val="03663A2A"/>
    <w:rsid w:val="03705764"/>
    <w:rsid w:val="03736763"/>
    <w:rsid w:val="03A06A49"/>
    <w:rsid w:val="03A66738"/>
    <w:rsid w:val="03AD28EF"/>
    <w:rsid w:val="03AD2B09"/>
    <w:rsid w:val="03C551FF"/>
    <w:rsid w:val="03CA4BC5"/>
    <w:rsid w:val="03CD42FF"/>
    <w:rsid w:val="03D05425"/>
    <w:rsid w:val="03EA1CFF"/>
    <w:rsid w:val="03ED1A58"/>
    <w:rsid w:val="03EF11E1"/>
    <w:rsid w:val="03F25073"/>
    <w:rsid w:val="0407149F"/>
    <w:rsid w:val="04222EF0"/>
    <w:rsid w:val="04251C2B"/>
    <w:rsid w:val="04281C7E"/>
    <w:rsid w:val="042827BF"/>
    <w:rsid w:val="043B4BBE"/>
    <w:rsid w:val="04891255"/>
    <w:rsid w:val="048B728A"/>
    <w:rsid w:val="04AC35F7"/>
    <w:rsid w:val="04AC52FB"/>
    <w:rsid w:val="04B42B59"/>
    <w:rsid w:val="04BE11AE"/>
    <w:rsid w:val="04CF3F94"/>
    <w:rsid w:val="04DF01BD"/>
    <w:rsid w:val="04E26543"/>
    <w:rsid w:val="051B5F92"/>
    <w:rsid w:val="052A14E7"/>
    <w:rsid w:val="052A64E9"/>
    <w:rsid w:val="053A1C6F"/>
    <w:rsid w:val="057E01D9"/>
    <w:rsid w:val="05955E24"/>
    <w:rsid w:val="05A56BB5"/>
    <w:rsid w:val="05CA4822"/>
    <w:rsid w:val="05CC1FD8"/>
    <w:rsid w:val="05CF0362"/>
    <w:rsid w:val="05D10E9A"/>
    <w:rsid w:val="05D32D84"/>
    <w:rsid w:val="05D7661F"/>
    <w:rsid w:val="05DC59BB"/>
    <w:rsid w:val="05FC1701"/>
    <w:rsid w:val="060E3A4E"/>
    <w:rsid w:val="062D0004"/>
    <w:rsid w:val="063A4316"/>
    <w:rsid w:val="06625EB3"/>
    <w:rsid w:val="066D797B"/>
    <w:rsid w:val="06811C9D"/>
    <w:rsid w:val="06842305"/>
    <w:rsid w:val="068B1A17"/>
    <w:rsid w:val="06926190"/>
    <w:rsid w:val="069E5179"/>
    <w:rsid w:val="06A27BF1"/>
    <w:rsid w:val="06A966F0"/>
    <w:rsid w:val="06AF2B54"/>
    <w:rsid w:val="06CD5F42"/>
    <w:rsid w:val="06D24771"/>
    <w:rsid w:val="06D626BD"/>
    <w:rsid w:val="06F4563B"/>
    <w:rsid w:val="070263EC"/>
    <w:rsid w:val="070265EF"/>
    <w:rsid w:val="07086832"/>
    <w:rsid w:val="07313446"/>
    <w:rsid w:val="07400E52"/>
    <w:rsid w:val="07457F2F"/>
    <w:rsid w:val="07663B0C"/>
    <w:rsid w:val="076765E4"/>
    <w:rsid w:val="07700142"/>
    <w:rsid w:val="078A2B93"/>
    <w:rsid w:val="07961FBF"/>
    <w:rsid w:val="079D21B1"/>
    <w:rsid w:val="07C44C77"/>
    <w:rsid w:val="07C90E92"/>
    <w:rsid w:val="07E227F9"/>
    <w:rsid w:val="07F247A2"/>
    <w:rsid w:val="07F3763F"/>
    <w:rsid w:val="07F74126"/>
    <w:rsid w:val="07FE1CA4"/>
    <w:rsid w:val="08190451"/>
    <w:rsid w:val="081A2BDD"/>
    <w:rsid w:val="0837062F"/>
    <w:rsid w:val="083F0B6F"/>
    <w:rsid w:val="084B6C81"/>
    <w:rsid w:val="084F40CE"/>
    <w:rsid w:val="08587564"/>
    <w:rsid w:val="087D5321"/>
    <w:rsid w:val="08805EFE"/>
    <w:rsid w:val="089C541C"/>
    <w:rsid w:val="08A12D8B"/>
    <w:rsid w:val="08A1519A"/>
    <w:rsid w:val="08AD7352"/>
    <w:rsid w:val="08B10C46"/>
    <w:rsid w:val="08CF26D9"/>
    <w:rsid w:val="08CF5DD6"/>
    <w:rsid w:val="08D649BB"/>
    <w:rsid w:val="08E14ED5"/>
    <w:rsid w:val="08EC080A"/>
    <w:rsid w:val="08EF3AF5"/>
    <w:rsid w:val="08FC454D"/>
    <w:rsid w:val="090E43AD"/>
    <w:rsid w:val="092267A1"/>
    <w:rsid w:val="093352C8"/>
    <w:rsid w:val="094A3425"/>
    <w:rsid w:val="094B3478"/>
    <w:rsid w:val="09521F45"/>
    <w:rsid w:val="09973371"/>
    <w:rsid w:val="09A04D3F"/>
    <w:rsid w:val="09A63558"/>
    <w:rsid w:val="09A72A18"/>
    <w:rsid w:val="09C95166"/>
    <w:rsid w:val="09DE297E"/>
    <w:rsid w:val="09F01539"/>
    <w:rsid w:val="0A057456"/>
    <w:rsid w:val="0A340D57"/>
    <w:rsid w:val="0A5E54BB"/>
    <w:rsid w:val="0AAB733F"/>
    <w:rsid w:val="0ABA06F0"/>
    <w:rsid w:val="0ABE7BB8"/>
    <w:rsid w:val="0AC42A22"/>
    <w:rsid w:val="0AC43612"/>
    <w:rsid w:val="0AE27C3A"/>
    <w:rsid w:val="0AFF5746"/>
    <w:rsid w:val="0B0E7577"/>
    <w:rsid w:val="0B1105A4"/>
    <w:rsid w:val="0B261605"/>
    <w:rsid w:val="0B3D6687"/>
    <w:rsid w:val="0B78261E"/>
    <w:rsid w:val="0B7A16F5"/>
    <w:rsid w:val="0B7D3E3B"/>
    <w:rsid w:val="0BA00657"/>
    <w:rsid w:val="0BAE3EB4"/>
    <w:rsid w:val="0BC74117"/>
    <w:rsid w:val="0BCB58F1"/>
    <w:rsid w:val="0BCF4FC3"/>
    <w:rsid w:val="0BE80418"/>
    <w:rsid w:val="0BF52A54"/>
    <w:rsid w:val="0BFC77DA"/>
    <w:rsid w:val="0BFE7534"/>
    <w:rsid w:val="0C1B5751"/>
    <w:rsid w:val="0C1C16ED"/>
    <w:rsid w:val="0C300595"/>
    <w:rsid w:val="0C315A08"/>
    <w:rsid w:val="0C3B4847"/>
    <w:rsid w:val="0C55338F"/>
    <w:rsid w:val="0C7E6BBF"/>
    <w:rsid w:val="0C9F7471"/>
    <w:rsid w:val="0CB30221"/>
    <w:rsid w:val="0CB33DF8"/>
    <w:rsid w:val="0CD957AA"/>
    <w:rsid w:val="0CE3672B"/>
    <w:rsid w:val="0CEE1332"/>
    <w:rsid w:val="0D11788B"/>
    <w:rsid w:val="0D1727FB"/>
    <w:rsid w:val="0D190D03"/>
    <w:rsid w:val="0D330150"/>
    <w:rsid w:val="0D3825BE"/>
    <w:rsid w:val="0D652B72"/>
    <w:rsid w:val="0D704C8F"/>
    <w:rsid w:val="0D7466F5"/>
    <w:rsid w:val="0D8F5055"/>
    <w:rsid w:val="0DA05989"/>
    <w:rsid w:val="0DF144F2"/>
    <w:rsid w:val="0DF153A1"/>
    <w:rsid w:val="0DF363EA"/>
    <w:rsid w:val="0DF501D1"/>
    <w:rsid w:val="0E02670A"/>
    <w:rsid w:val="0E0D21D0"/>
    <w:rsid w:val="0E19514C"/>
    <w:rsid w:val="0E21445D"/>
    <w:rsid w:val="0E514607"/>
    <w:rsid w:val="0E595800"/>
    <w:rsid w:val="0E5D72AF"/>
    <w:rsid w:val="0E640EEC"/>
    <w:rsid w:val="0E646C4C"/>
    <w:rsid w:val="0E655187"/>
    <w:rsid w:val="0E792BCB"/>
    <w:rsid w:val="0E81441A"/>
    <w:rsid w:val="0E817C0D"/>
    <w:rsid w:val="0EA13C56"/>
    <w:rsid w:val="0EAA7CFD"/>
    <w:rsid w:val="0EAE3E2D"/>
    <w:rsid w:val="0EB318DE"/>
    <w:rsid w:val="0EC23165"/>
    <w:rsid w:val="0EC4122E"/>
    <w:rsid w:val="0ED96555"/>
    <w:rsid w:val="0EDC64AF"/>
    <w:rsid w:val="0F156B37"/>
    <w:rsid w:val="0F3149D0"/>
    <w:rsid w:val="0F3379C5"/>
    <w:rsid w:val="0F446DA2"/>
    <w:rsid w:val="0F7859C0"/>
    <w:rsid w:val="0F7B0F67"/>
    <w:rsid w:val="0F8B64A8"/>
    <w:rsid w:val="0F8B6A7D"/>
    <w:rsid w:val="0FA14DC3"/>
    <w:rsid w:val="0FA51830"/>
    <w:rsid w:val="0FC6018D"/>
    <w:rsid w:val="0FCE732A"/>
    <w:rsid w:val="0FD53CC0"/>
    <w:rsid w:val="101236D8"/>
    <w:rsid w:val="101A1193"/>
    <w:rsid w:val="10241F33"/>
    <w:rsid w:val="102A4A5B"/>
    <w:rsid w:val="102E4206"/>
    <w:rsid w:val="103447BE"/>
    <w:rsid w:val="10611403"/>
    <w:rsid w:val="107113A6"/>
    <w:rsid w:val="107639F8"/>
    <w:rsid w:val="10797D1C"/>
    <w:rsid w:val="10A512A0"/>
    <w:rsid w:val="10AE0EDE"/>
    <w:rsid w:val="10D841BB"/>
    <w:rsid w:val="10DA1C55"/>
    <w:rsid w:val="10E04069"/>
    <w:rsid w:val="10F84FB6"/>
    <w:rsid w:val="10FE148A"/>
    <w:rsid w:val="110932AA"/>
    <w:rsid w:val="110C723D"/>
    <w:rsid w:val="11122F2D"/>
    <w:rsid w:val="11345BB0"/>
    <w:rsid w:val="114F16D2"/>
    <w:rsid w:val="114F30A9"/>
    <w:rsid w:val="11683084"/>
    <w:rsid w:val="116E210B"/>
    <w:rsid w:val="116F3D7B"/>
    <w:rsid w:val="1182106E"/>
    <w:rsid w:val="11B53347"/>
    <w:rsid w:val="11BC7F5C"/>
    <w:rsid w:val="11CD595B"/>
    <w:rsid w:val="11CE6176"/>
    <w:rsid w:val="11E46F2F"/>
    <w:rsid w:val="11FE4208"/>
    <w:rsid w:val="11FE4DF6"/>
    <w:rsid w:val="126A4519"/>
    <w:rsid w:val="12AF45B4"/>
    <w:rsid w:val="12B05001"/>
    <w:rsid w:val="12C613CA"/>
    <w:rsid w:val="12C67CAA"/>
    <w:rsid w:val="12E26A09"/>
    <w:rsid w:val="12F667CD"/>
    <w:rsid w:val="12FD367F"/>
    <w:rsid w:val="13055E8B"/>
    <w:rsid w:val="131C4BE9"/>
    <w:rsid w:val="131F06D9"/>
    <w:rsid w:val="13251A5C"/>
    <w:rsid w:val="134D0C34"/>
    <w:rsid w:val="134E4423"/>
    <w:rsid w:val="1359437E"/>
    <w:rsid w:val="1369663C"/>
    <w:rsid w:val="137C5854"/>
    <w:rsid w:val="137E02B6"/>
    <w:rsid w:val="13C11F8B"/>
    <w:rsid w:val="14133404"/>
    <w:rsid w:val="141662D5"/>
    <w:rsid w:val="14173183"/>
    <w:rsid w:val="14275812"/>
    <w:rsid w:val="143760E2"/>
    <w:rsid w:val="14526B1D"/>
    <w:rsid w:val="145E5731"/>
    <w:rsid w:val="148422F7"/>
    <w:rsid w:val="14921624"/>
    <w:rsid w:val="14AA358A"/>
    <w:rsid w:val="14D577BC"/>
    <w:rsid w:val="14D857BE"/>
    <w:rsid w:val="14F17C95"/>
    <w:rsid w:val="14F21BB5"/>
    <w:rsid w:val="15064C7B"/>
    <w:rsid w:val="15125F0F"/>
    <w:rsid w:val="1514212E"/>
    <w:rsid w:val="152E7D4A"/>
    <w:rsid w:val="153932B2"/>
    <w:rsid w:val="154C60B5"/>
    <w:rsid w:val="154F724C"/>
    <w:rsid w:val="155E63CC"/>
    <w:rsid w:val="156F2065"/>
    <w:rsid w:val="15723159"/>
    <w:rsid w:val="158234C3"/>
    <w:rsid w:val="15B27B58"/>
    <w:rsid w:val="15BD1CB8"/>
    <w:rsid w:val="15C2442B"/>
    <w:rsid w:val="15C70A44"/>
    <w:rsid w:val="15DE16FF"/>
    <w:rsid w:val="15F30912"/>
    <w:rsid w:val="15F47171"/>
    <w:rsid w:val="15F7796F"/>
    <w:rsid w:val="15FF2640"/>
    <w:rsid w:val="15FF5EF9"/>
    <w:rsid w:val="1602232A"/>
    <w:rsid w:val="1607316E"/>
    <w:rsid w:val="160C6AAA"/>
    <w:rsid w:val="16136961"/>
    <w:rsid w:val="16281E46"/>
    <w:rsid w:val="1640665E"/>
    <w:rsid w:val="165607D3"/>
    <w:rsid w:val="165E78B2"/>
    <w:rsid w:val="16645125"/>
    <w:rsid w:val="166B1337"/>
    <w:rsid w:val="16824DF7"/>
    <w:rsid w:val="168C4FF2"/>
    <w:rsid w:val="16BE39E9"/>
    <w:rsid w:val="16E01545"/>
    <w:rsid w:val="16F97BDE"/>
    <w:rsid w:val="17054D2B"/>
    <w:rsid w:val="1739698C"/>
    <w:rsid w:val="174A616B"/>
    <w:rsid w:val="17673DA9"/>
    <w:rsid w:val="177B3BA5"/>
    <w:rsid w:val="179633BE"/>
    <w:rsid w:val="17AA7DD5"/>
    <w:rsid w:val="17AC24B0"/>
    <w:rsid w:val="17C20E1B"/>
    <w:rsid w:val="17CE4992"/>
    <w:rsid w:val="17D80A06"/>
    <w:rsid w:val="17F322B2"/>
    <w:rsid w:val="17F742B6"/>
    <w:rsid w:val="180B67D5"/>
    <w:rsid w:val="18136E70"/>
    <w:rsid w:val="181C5228"/>
    <w:rsid w:val="18226EDE"/>
    <w:rsid w:val="18534C5C"/>
    <w:rsid w:val="185433BD"/>
    <w:rsid w:val="1865608A"/>
    <w:rsid w:val="186F4FB5"/>
    <w:rsid w:val="189D247A"/>
    <w:rsid w:val="189E77FE"/>
    <w:rsid w:val="18AB1068"/>
    <w:rsid w:val="18B8291A"/>
    <w:rsid w:val="18C03451"/>
    <w:rsid w:val="18C343A0"/>
    <w:rsid w:val="18C563DC"/>
    <w:rsid w:val="18FC3A19"/>
    <w:rsid w:val="19101FC3"/>
    <w:rsid w:val="192D164C"/>
    <w:rsid w:val="1950570D"/>
    <w:rsid w:val="19604CBC"/>
    <w:rsid w:val="19B476A3"/>
    <w:rsid w:val="19C41149"/>
    <w:rsid w:val="19C51754"/>
    <w:rsid w:val="19C71E55"/>
    <w:rsid w:val="19DC27FE"/>
    <w:rsid w:val="19E020E7"/>
    <w:rsid w:val="19E607BA"/>
    <w:rsid w:val="19E863DB"/>
    <w:rsid w:val="19EB7243"/>
    <w:rsid w:val="1A032FF5"/>
    <w:rsid w:val="1A100D82"/>
    <w:rsid w:val="1A110726"/>
    <w:rsid w:val="1A19214D"/>
    <w:rsid w:val="1A2C714E"/>
    <w:rsid w:val="1A2F497E"/>
    <w:rsid w:val="1A33400A"/>
    <w:rsid w:val="1A4F7538"/>
    <w:rsid w:val="1A552186"/>
    <w:rsid w:val="1A573A96"/>
    <w:rsid w:val="1A5949AF"/>
    <w:rsid w:val="1A5F0684"/>
    <w:rsid w:val="1A694CA0"/>
    <w:rsid w:val="1A711815"/>
    <w:rsid w:val="1A8650BB"/>
    <w:rsid w:val="1AA7641A"/>
    <w:rsid w:val="1AB75473"/>
    <w:rsid w:val="1AC63C1B"/>
    <w:rsid w:val="1ACF690A"/>
    <w:rsid w:val="1ADB6A7B"/>
    <w:rsid w:val="1ADE1C71"/>
    <w:rsid w:val="1ADF7266"/>
    <w:rsid w:val="1AEB451C"/>
    <w:rsid w:val="1B006552"/>
    <w:rsid w:val="1B020921"/>
    <w:rsid w:val="1B037A18"/>
    <w:rsid w:val="1B1511C2"/>
    <w:rsid w:val="1B1E3089"/>
    <w:rsid w:val="1B2A1336"/>
    <w:rsid w:val="1B3B20FA"/>
    <w:rsid w:val="1B3C2D73"/>
    <w:rsid w:val="1B45401A"/>
    <w:rsid w:val="1B63544D"/>
    <w:rsid w:val="1B695370"/>
    <w:rsid w:val="1B7975E3"/>
    <w:rsid w:val="1B8A08C2"/>
    <w:rsid w:val="1B9A50B4"/>
    <w:rsid w:val="1BA54D43"/>
    <w:rsid w:val="1BA8258E"/>
    <w:rsid w:val="1BBA6D0F"/>
    <w:rsid w:val="1BCD45EC"/>
    <w:rsid w:val="1BCF5BAB"/>
    <w:rsid w:val="1BF146DC"/>
    <w:rsid w:val="1C230F93"/>
    <w:rsid w:val="1C363BF9"/>
    <w:rsid w:val="1C59142B"/>
    <w:rsid w:val="1CA45BB8"/>
    <w:rsid w:val="1CBF176F"/>
    <w:rsid w:val="1CC370F6"/>
    <w:rsid w:val="1CCD4946"/>
    <w:rsid w:val="1CD14AF0"/>
    <w:rsid w:val="1CED2A6D"/>
    <w:rsid w:val="1D0474C9"/>
    <w:rsid w:val="1D0D368B"/>
    <w:rsid w:val="1D173AB6"/>
    <w:rsid w:val="1D187EBB"/>
    <w:rsid w:val="1D37298A"/>
    <w:rsid w:val="1D3F573B"/>
    <w:rsid w:val="1D4849DA"/>
    <w:rsid w:val="1D57266A"/>
    <w:rsid w:val="1D71367F"/>
    <w:rsid w:val="1D72312A"/>
    <w:rsid w:val="1D8173E6"/>
    <w:rsid w:val="1D8B5A63"/>
    <w:rsid w:val="1DA00582"/>
    <w:rsid w:val="1DBE0159"/>
    <w:rsid w:val="1DBF15E9"/>
    <w:rsid w:val="1DC128C3"/>
    <w:rsid w:val="1DCE4D3E"/>
    <w:rsid w:val="1DD639FE"/>
    <w:rsid w:val="1E1D31C7"/>
    <w:rsid w:val="1E252A2D"/>
    <w:rsid w:val="1E2830DF"/>
    <w:rsid w:val="1E37476D"/>
    <w:rsid w:val="1E5209CD"/>
    <w:rsid w:val="1EBD4274"/>
    <w:rsid w:val="1ED84D1E"/>
    <w:rsid w:val="1EF83B99"/>
    <w:rsid w:val="1EFB417F"/>
    <w:rsid w:val="1F0D0574"/>
    <w:rsid w:val="1F502DA6"/>
    <w:rsid w:val="1F556243"/>
    <w:rsid w:val="1F763CCA"/>
    <w:rsid w:val="1F942467"/>
    <w:rsid w:val="1F996E3C"/>
    <w:rsid w:val="1F9C39C9"/>
    <w:rsid w:val="1F9E4E4C"/>
    <w:rsid w:val="1FB5655D"/>
    <w:rsid w:val="1FBB56F3"/>
    <w:rsid w:val="1FC03EF2"/>
    <w:rsid w:val="1FC74D1B"/>
    <w:rsid w:val="1FC87651"/>
    <w:rsid w:val="1FD04333"/>
    <w:rsid w:val="1FD06351"/>
    <w:rsid w:val="1FDA47B1"/>
    <w:rsid w:val="1FF61D25"/>
    <w:rsid w:val="1FFD3B6A"/>
    <w:rsid w:val="20040E42"/>
    <w:rsid w:val="20355B0D"/>
    <w:rsid w:val="20435182"/>
    <w:rsid w:val="204A1EC9"/>
    <w:rsid w:val="204A37E7"/>
    <w:rsid w:val="205966D6"/>
    <w:rsid w:val="20806EFA"/>
    <w:rsid w:val="208A25A7"/>
    <w:rsid w:val="20A51DE1"/>
    <w:rsid w:val="20A867B6"/>
    <w:rsid w:val="20AE792A"/>
    <w:rsid w:val="20B51C50"/>
    <w:rsid w:val="20B54822"/>
    <w:rsid w:val="20C637AC"/>
    <w:rsid w:val="20DF77BC"/>
    <w:rsid w:val="21114230"/>
    <w:rsid w:val="21132D72"/>
    <w:rsid w:val="2119668E"/>
    <w:rsid w:val="211A20DA"/>
    <w:rsid w:val="212356BE"/>
    <w:rsid w:val="2134023C"/>
    <w:rsid w:val="214B24AF"/>
    <w:rsid w:val="215215F8"/>
    <w:rsid w:val="21554C66"/>
    <w:rsid w:val="217E18D6"/>
    <w:rsid w:val="217E4C9B"/>
    <w:rsid w:val="21A85973"/>
    <w:rsid w:val="21B121C4"/>
    <w:rsid w:val="21C22593"/>
    <w:rsid w:val="21C771CB"/>
    <w:rsid w:val="21EC2218"/>
    <w:rsid w:val="21F15A2C"/>
    <w:rsid w:val="21F95701"/>
    <w:rsid w:val="221A15E4"/>
    <w:rsid w:val="221E5D8B"/>
    <w:rsid w:val="222F6CA1"/>
    <w:rsid w:val="223335C9"/>
    <w:rsid w:val="2269234C"/>
    <w:rsid w:val="22747DDB"/>
    <w:rsid w:val="227849E0"/>
    <w:rsid w:val="22811271"/>
    <w:rsid w:val="228C6AE9"/>
    <w:rsid w:val="22B53180"/>
    <w:rsid w:val="22C01785"/>
    <w:rsid w:val="22D0325A"/>
    <w:rsid w:val="22F44EC0"/>
    <w:rsid w:val="22F9232A"/>
    <w:rsid w:val="230D2136"/>
    <w:rsid w:val="23533E3C"/>
    <w:rsid w:val="23555FBD"/>
    <w:rsid w:val="235614B8"/>
    <w:rsid w:val="237E1085"/>
    <w:rsid w:val="2389578A"/>
    <w:rsid w:val="238E0CC2"/>
    <w:rsid w:val="23A7544E"/>
    <w:rsid w:val="23A83127"/>
    <w:rsid w:val="23B42D0A"/>
    <w:rsid w:val="23BF2648"/>
    <w:rsid w:val="23C96B56"/>
    <w:rsid w:val="23E438DC"/>
    <w:rsid w:val="23F14891"/>
    <w:rsid w:val="24065B2E"/>
    <w:rsid w:val="240A5ACF"/>
    <w:rsid w:val="24342583"/>
    <w:rsid w:val="244C529B"/>
    <w:rsid w:val="24595EA9"/>
    <w:rsid w:val="245A3EC1"/>
    <w:rsid w:val="24792050"/>
    <w:rsid w:val="248620EA"/>
    <w:rsid w:val="248B6569"/>
    <w:rsid w:val="24A25054"/>
    <w:rsid w:val="24A5338B"/>
    <w:rsid w:val="24A770BC"/>
    <w:rsid w:val="24C373ED"/>
    <w:rsid w:val="24D36A17"/>
    <w:rsid w:val="24EC2FF7"/>
    <w:rsid w:val="24FB1D91"/>
    <w:rsid w:val="25143F64"/>
    <w:rsid w:val="25170823"/>
    <w:rsid w:val="254A6653"/>
    <w:rsid w:val="25555C08"/>
    <w:rsid w:val="255B001A"/>
    <w:rsid w:val="25610B65"/>
    <w:rsid w:val="25687BEB"/>
    <w:rsid w:val="257860F1"/>
    <w:rsid w:val="257A5F33"/>
    <w:rsid w:val="25826B54"/>
    <w:rsid w:val="25862AA3"/>
    <w:rsid w:val="258A778D"/>
    <w:rsid w:val="25953DB7"/>
    <w:rsid w:val="25A13B8D"/>
    <w:rsid w:val="25AF0139"/>
    <w:rsid w:val="25B0480A"/>
    <w:rsid w:val="25E1598F"/>
    <w:rsid w:val="25E358D7"/>
    <w:rsid w:val="25E844E2"/>
    <w:rsid w:val="25F87333"/>
    <w:rsid w:val="262F5DAB"/>
    <w:rsid w:val="26331BFE"/>
    <w:rsid w:val="263C2FCA"/>
    <w:rsid w:val="263C7389"/>
    <w:rsid w:val="26436D96"/>
    <w:rsid w:val="26565096"/>
    <w:rsid w:val="26631FA4"/>
    <w:rsid w:val="267A155C"/>
    <w:rsid w:val="269E28A2"/>
    <w:rsid w:val="269F1F56"/>
    <w:rsid w:val="26A614BB"/>
    <w:rsid w:val="26AE512A"/>
    <w:rsid w:val="26AF121F"/>
    <w:rsid w:val="26B1777C"/>
    <w:rsid w:val="26B83A6C"/>
    <w:rsid w:val="26C10960"/>
    <w:rsid w:val="26E942DD"/>
    <w:rsid w:val="27001E87"/>
    <w:rsid w:val="270C37A0"/>
    <w:rsid w:val="2724461D"/>
    <w:rsid w:val="272C5CF9"/>
    <w:rsid w:val="27464424"/>
    <w:rsid w:val="2747668A"/>
    <w:rsid w:val="274806C8"/>
    <w:rsid w:val="275F6100"/>
    <w:rsid w:val="2764174E"/>
    <w:rsid w:val="277D1D0C"/>
    <w:rsid w:val="277F7492"/>
    <w:rsid w:val="27803E93"/>
    <w:rsid w:val="2788134B"/>
    <w:rsid w:val="27882C72"/>
    <w:rsid w:val="27961ADC"/>
    <w:rsid w:val="27BD4CCC"/>
    <w:rsid w:val="27CA2611"/>
    <w:rsid w:val="27ED036D"/>
    <w:rsid w:val="27F641BF"/>
    <w:rsid w:val="28003F0B"/>
    <w:rsid w:val="28070001"/>
    <w:rsid w:val="28083688"/>
    <w:rsid w:val="280F2EA6"/>
    <w:rsid w:val="28256A9E"/>
    <w:rsid w:val="28463FD9"/>
    <w:rsid w:val="28594E9F"/>
    <w:rsid w:val="28690E82"/>
    <w:rsid w:val="287C2035"/>
    <w:rsid w:val="288149BF"/>
    <w:rsid w:val="288F1FE6"/>
    <w:rsid w:val="289D6FBC"/>
    <w:rsid w:val="28AB4703"/>
    <w:rsid w:val="28DE51B7"/>
    <w:rsid w:val="29083B3D"/>
    <w:rsid w:val="290E35DA"/>
    <w:rsid w:val="2913310C"/>
    <w:rsid w:val="29201D7A"/>
    <w:rsid w:val="292B1B70"/>
    <w:rsid w:val="298404B0"/>
    <w:rsid w:val="29936F43"/>
    <w:rsid w:val="299C39AF"/>
    <w:rsid w:val="299F017B"/>
    <w:rsid w:val="29A91F5E"/>
    <w:rsid w:val="29AC6880"/>
    <w:rsid w:val="29BB6D3C"/>
    <w:rsid w:val="29C8558F"/>
    <w:rsid w:val="29D32F20"/>
    <w:rsid w:val="29DB3C33"/>
    <w:rsid w:val="29FD46B6"/>
    <w:rsid w:val="2A083949"/>
    <w:rsid w:val="2A24268B"/>
    <w:rsid w:val="2A335710"/>
    <w:rsid w:val="2A4855D7"/>
    <w:rsid w:val="2A592D0F"/>
    <w:rsid w:val="2A670DFB"/>
    <w:rsid w:val="2A7975BE"/>
    <w:rsid w:val="2A7B6947"/>
    <w:rsid w:val="2A7C6744"/>
    <w:rsid w:val="2A7E0511"/>
    <w:rsid w:val="2A871C11"/>
    <w:rsid w:val="2A8D0B0F"/>
    <w:rsid w:val="2AB5028A"/>
    <w:rsid w:val="2AC728D2"/>
    <w:rsid w:val="2AD57EC8"/>
    <w:rsid w:val="2AD8573B"/>
    <w:rsid w:val="2AFC1B6B"/>
    <w:rsid w:val="2B0244E2"/>
    <w:rsid w:val="2B37404A"/>
    <w:rsid w:val="2B3C5F48"/>
    <w:rsid w:val="2B413DAC"/>
    <w:rsid w:val="2B5059C7"/>
    <w:rsid w:val="2B64193C"/>
    <w:rsid w:val="2B7007CF"/>
    <w:rsid w:val="2B722796"/>
    <w:rsid w:val="2B757DBF"/>
    <w:rsid w:val="2B8442FF"/>
    <w:rsid w:val="2B8B0C0F"/>
    <w:rsid w:val="2B8D6BD0"/>
    <w:rsid w:val="2BB34299"/>
    <w:rsid w:val="2BC2605F"/>
    <w:rsid w:val="2BCC3285"/>
    <w:rsid w:val="2BD036BC"/>
    <w:rsid w:val="2BD154E9"/>
    <w:rsid w:val="2BE01C6B"/>
    <w:rsid w:val="2BE83025"/>
    <w:rsid w:val="2BFA02AD"/>
    <w:rsid w:val="2C1340C8"/>
    <w:rsid w:val="2C1349B3"/>
    <w:rsid w:val="2C1F54A6"/>
    <w:rsid w:val="2C372AEA"/>
    <w:rsid w:val="2C8E0DDA"/>
    <w:rsid w:val="2C9C2D10"/>
    <w:rsid w:val="2C9C4200"/>
    <w:rsid w:val="2CA16209"/>
    <w:rsid w:val="2CA35C5C"/>
    <w:rsid w:val="2CB11B6B"/>
    <w:rsid w:val="2CB8113B"/>
    <w:rsid w:val="2CCB7A09"/>
    <w:rsid w:val="2CEF481A"/>
    <w:rsid w:val="2CFA74B7"/>
    <w:rsid w:val="2D034B8C"/>
    <w:rsid w:val="2D1922BF"/>
    <w:rsid w:val="2D262D25"/>
    <w:rsid w:val="2D265A20"/>
    <w:rsid w:val="2D331087"/>
    <w:rsid w:val="2D3B6728"/>
    <w:rsid w:val="2D405182"/>
    <w:rsid w:val="2D406663"/>
    <w:rsid w:val="2D420024"/>
    <w:rsid w:val="2D5C2E0D"/>
    <w:rsid w:val="2D87256F"/>
    <w:rsid w:val="2DA31C74"/>
    <w:rsid w:val="2DBD4788"/>
    <w:rsid w:val="2DBE4293"/>
    <w:rsid w:val="2DCE6661"/>
    <w:rsid w:val="2DDB46FB"/>
    <w:rsid w:val="2DE46A81"/>
    <w:rsid w:val="2DEE6370"/>
    <w:rsid w:val="2DFF0FC0"/>
    <w:rsid w:val="2E122A84"/>
    <w:rsid w:val="2E1C51B6"/>
    <w:rsid w:val="2E5159B7"/>
    <w:rsid w:val="2E590462"/>
    <w:rsid w:val="2E607DF7"/>
    <w:rsid w:val="2E6A1366"/>
    <w:rsid w:val="2E99111E"/>
    <w:rsid w:val="2EA15D27"/>
    <w:rsid w:val="2EC26969"/>
    <w:rsid w:val="2ECB2949"/>
    <w:rsid w:val="2ECE63F8"/>
    <w:rsid w:val="2F37094A"/>
    <w:rsid w:val="2F3B64FF"/>
    <w:rsid w:val="2F477462"/>
    <w:rsid w:val="2F4C40A5"/>
    <w:rsid w:val="2F563EC0"/>
    <w:rsid w:val="2F5762B0"/>
    <w:rsid w:val="2F5B42DA"/>
    <w:rsid w:val="2F764A55"/>
    <w:rsid w:val="2F9453AA"/>
    <w:rsid w:val="2F990185"/>
    <w:rsid w:val="2F9960ED"/>
    <w:rsid w:val="2F9D74DB"/>
    <w:rsid w:val="2FA1782B"/>
    <w:rsid w:val="2FAE723E"/>
    <w:rsid w:val="2FB3377D"/>
    <w:rsid w:val="2FDF74CA"/>
    <w:rsid w:val="2FEE1CDB"/>
    <w:rsid w:val="30201DEC"/>
    <w:rsid w:val="30741A2E"/>
    <w:rsid w:val="307E7076"/>
    <w:rsid w:val="307F5651"/>
    <w:rsid w:val="30871F9B"/>
    <w:rsid w:val="308A276F"/>
    <w:rsid w:val="308B2303"/>
    <w:rsid w:val="309762F2"/>
    <w:rsid w:val="309C1C91"/>
    <w:rsid w:val="30A22C4B"/>
    <w:rsid w:val="30AE2B58"/>
    <w:rsid w:val="30C21A50"/>
    <w:rsid w:val="30C536F8"/>
    <w:rsid w:val="30D3442A"/>
    <w:rsid w:val="30E77847"/>
    <w:rsid w:val="30FD42E7"/>
    <w:rsid w:val="31111818"/>
    <w:rsid w:val="3112228B"/>
    <w:rsid w:val="31231D3C"/>
    <w:rsid w:val="312A405D"/>
    <w:rsid w:val="313C3448"/>
    <w:rsid w:val="31455A5C"/>
    <w:rsid w:val="31542A30"/>
    <w:rsid w:val="3161328B"/>
    <w:rsid w:val="317B7969"/>
    <w:rsid w:val="318F7AB2"/>
    <w:rsid w:val="31AB5EC3"/>
    <w:rsid w:val="31B7469D"/>
    <w:rsid w:val="31BB49B7"/>
    <w:rsid w:val="31C20B2E"/>
    <w:rsid w:val="31C22C6F"/>
    <w:rsid w:val="31C6519A"/>
    <w:rsid w:val="31D26D13"/>
    <w:rsid w:val="31DA083D"/>
    <w:rsid w:val="31F02C1F"/>
    <w:rsid w:val="31FA6967"/>
    <w:rsid w:val="320C2F59"/>
    <w:rsid w:val="320F6237"/>
    <w:rsid w:val="32103AB7"/>
    <w:rsid w:val="321F0EFF"/>
    <w:rsid w:val="3229136A"/>
    <w:rsid w:val="32390A31"/>
    <w:rsid w:val="325C521B"/>
    <w:rsid w:val="32622260"/>
    <w:rsid w:val="326C5E75"/>
    <w:rsid w:val="32766ADC"/>
    <w:rsid w:val="32825267"/>
    <w:rsid w:val="32B53E59"/>
    <w:rsid w:val="32BA6E40"/>
    <w:rsid w:val="32E47E1B"/>
    <w:rsid w:val="32EA52BF"/>
    <w:rsid w:val="32F32C04"/>
    <w:rsid w:val="32F744EE"/>
    <w:rsid w:val="33024DB1"/>
    <w:rsid w:val="33114DDB"/>
    <w:rsid w:val="33117375"/>
    <w:rsid w:val="331A0B19"/>
    <w:rsid w:val="331A3857"/>
    <w:rsid w:val="332E240F"/>
    <w:rsid w:val="332E3412"/>
    <w:rsid w:val="332F09CC"/>
    <w:rsid w:val="33346A83"/>
    <w:rsid w:val="334C5B8E"/>
    <w:rsid w:val="335845F2"/>
    <w:rsid w:val="335F6666"/>
    <w:rsid w:val="336E664F"/>
    <w:rsid w:val="337148D9"/>
    <w:rsid w:val="33752B01"/>
    <w:rsid w:val="337D3848"/>
    <w:rsid w:val="33A852D5"/>
    <w:rsid w:val="33C25D73"/>
    <w:rsid w:val="33C44CA1"/>
    <w:rsid w:val="33C51B6D"/>
    <w:rsid w:val="33D63411"/>
    <w:rsid w:val="33D864B6"/>
    <w:rsid w:val="33DF7B09"/>
    <w:rsid w:val="33E57E53"/>
    <w:rsid w:val="34037A3B"/>
    <w:rsid w:val="341C1D6F"/>
    <w:rsid w:val="342910C4"/>
    <w:rsid w:val="344A06F0"/>
    <w:rsid w:val="34776D68"/>
    <w:rsid w:val="34972C19"/>
    <w:rsid w:val="34AE2BE2"/>
    <w:rsid w:val="34B60F57"/>
    <w:rsid w:val="34DF36C3"/>
    <w:rsid w:val="351D229D"/>
    <w:rsid w:val="35233233"/>
    <w:rsid w:val="35236787"/>
    <w:rsid w:val="353402AB"/>
    <w:rsid w:val="354A23A5"/>
    <w:rsid w:val="357122EA"/>
    <w:rsid w:val="35722631"/>
    <w:rsid w:val="35890A9E"/>
    <w:rsid w:val="35894B8F"/>
    <w:rsid w:val="359377CF"/>
    <w:rsid w:val="359A1C70"/>
    <w:rsid w:val="35AD09C3"/>
    <w:rsid w:val="35B54D0A"/>
    <w:rsid w:val="35BF3F4C"/>
    <w:rsid w:val="35F67BCB"/>
    <w:rsid w:val="35FF7757"/>
    <w:rsid w:val="36126473"/>
    <w:rsid w:val="362013CC"/>
    <w:rsid w:val="36397704"/>
    <w:rsid w:val="36577678"/>
    <w:rsid w:val="36663241"/>
    <w:rsid w:val="36676BC9"/>
    <w:rsid w:val="36676F03"/>
    <w:rsid w:val="366F792B"/>
    <w:rsid w:val="367D7A13"/>
    <w:rsid w:val="368A5895"/>
    <w:rsid w:val="368D1CFF"/>
    <w:rsid w:val="369826E4"/>
    <w:rsid w:val="36BB69D9"/>
    <w:rsid w:val="36C65164"/>
    <w:rsid w:val="36CA0AA6"/>
    <w:rsid w:val="36CA535B"/>
    <w:rsid w:val="36DF27FB"/>
    <w:rsid w:val="36FC579D"/>
    <w:rsid w:val="37385903"/>
    <w:rsid w:val="374817AC"/>
    <w:rsid w:val="37BE78F7"/>
    <w:rsid w:val="37BF798B"/>
    <w:rsid w:val="37C23F8F"/>
    <w:rsid w:val="37C80B6E"/>
    <w:rsid w:val="37D9256B"/>
    <w:rsid w:val="37ED2FAB"/>
    <w:rsid w:val="380C2567"/>
    <w:rsid w:val="38111B40"/>
    <w:rsid w:val="38161547"/>
    <w:rsid w:val="38201FEF"/>
    <w:rsid w:val="38356875"/>
    <w:rsid w:val="383655F2"/>
    <w:rsid w:val="3843776D"/>
    <w:rsid w:val="38443B46"/>
    <w:rsid w:val="384A0106"/>
    <w:rsid w:val="384A3492"/>
    <w:rsid w:val="384C6518"/>
    <w:rsid w:val="389D6C69"/>
    <w:rsid w:val="389E2802"/>
    <w:rsid w:val="38AE4D5A"/>
    <w:rsid w:val="38D35429"/>
    <w:rsid w:val="38DF7FF9"/>
    <w:rsid w:val="38EC5D63"/>
    <w:rsid w:val="38EC7B5D"/>
    <w:rsid w:val="38F55D42"/>
    <w:rsid w:val="39216C0F"/>
    <w:rsid w:val="392C79BA"/>
    <w:rsid w:val="393F4A55"/>
    <w:rsid w:val="39575392"/>
    <w:rsid w:val="395B53C1"/>
    <w:rsid w:val="3965228B"/>
    <w:rsid w:val="39670ED0"/>
    <w:rsid w:val="397500E2"/>
    <w:rsid w:val="397833EE"/>
    <w:rsid w:val="399552F9"/>
    <w:rsid w:val="399B54F4"/>
    <w:rsid w:val="39B925E1"/>
    <w:rsid w:val="39FF6A0D"/>
    <w:rsid w:val="3A080C7E"/>
    <w:rsid w:val="3A0C5A34"/>
    <w:rsid w:val="3A1C7755"/>
    <w:rsid w:val="3A305785"/>
    <w:rsid w:val="3A32158C"/>
    <w:rsid w:val="3A444107"/>
    <w:rsid w:val="3A484B88"/>
    <w:rsid w:val="3A5E7969"/>
    <w:rsid w:val="3A690E0C"/>
    <w:rsid w:val="3A752CCA"/>
    <w:rsid w:val="3A765C48"/>
    <w:rsid w:val="3A7B345F"/>
    <w:rsid w:val="3A866BC6"/>
    <w:rsid w:val="3A911FB9"/>
    <w:rsid w:val="3A9B7985"/>
    <w:rsid w:val="3AAD5DFF"/>
    <w:rsid w:val="3ACA2D53"/>
    <w:rsid w:val="3AEA6F2D"/>
    <w:rsid w:val="3B0309CB"/>
    <w:rsid w:val="3B0C7433"/>
    <w:rsid w:val="3B312F5D"/>
    <w:rsid w:val="3B3C3874"/>
    <w:rsid w:val="3B592662"/>
    <w:rsid w:val="3B5D6AB6"/>
    <w:rsid w:val="3B713C84"/>
    <w:rsid w:val="3BAD4688"/>
    <w:rsid w:val="3BAF3F1B"/>
    <w:rsid w:val="3BB405C4"/>
    <w:rsid w:val="3BB40E17"/>
    <w:rsid w:val="3BC8416D"/>
    <w:rsid w:val="3BD615F4"/>
    <w:rsid w:val="3C024E41"/>
    <w:rsid w:val="3C1B318D"/>
    <w:rsid w:val="3C244BC9"/>
    <w:rsid w:val="3C4B3834"/>
    <w:rsid w:val="3C5925FB"/>
    <w:rsid w:val="3C913A37"/>
    <w:rsid w:val="3C9A390C"/>
    <w:rsid w:val="3C9F3ED4"/>
    <w:rsid w:val="3CA903D3"/>
    <w:rsid w:val="3CAB1870"/>
    <w:rsid w:val="3CB90F2D"/>
    <w:rsid w:val="3CC84876"/>
    <w:rsid w:val="3CE578FF"/>
    <w:rsid w:val="3CEC0192"/>
    <w:rsid w:val="3CFA6C45"/>
    <w:rsid w:val="3D2E3AFF"/>
    <w:rsid w:val="3D65299D"/>
    <w:rsid w:val="3D7002C2"/>
    <w:rsid w:val="3D91524E"/>
    <w:rsid w:val="3DAC2E59"/>
    <w:rsid w:val="3DB06A15"/>
    <w:rsid w:val="3DB644A1"/>
    <w:rsid w:val="3DD249E0"/>
    <w:rsid w:val="3DD436DE"/>
    <w:rsid w:val="3DE57922"/>
    <w:rsid w:val="3DEA5222"/>
    <w:rsid w:val="3E1E3713"/>
    <w:rsid w:val="3E2454EA"/>
    <w:rsid w:val="3E403169"/>
    <w:rsid w:val="3E57271F"/>
    <w:rsid w:val="3E8D6290"/>
    <w:rsid w:val="3EB645B3"/>
    <w:rsid w:val="3ED46D63"/>
    <w:rsid w:val="3EE823FD"/>
    <w:rsid w:val="3EEE4C2B"/>
    <w:rsid w:val="3EF64E4D"/>
    <w:rsid w:val="3F1216C6"/>
    <w:rsid w:val="3F2B16DE"/>
    <w:rsid w:val="3F31483F"/>
    <w:rsid w:val="3F336778"/>
    <w:rsid w:val="3F365051"/>
    <w:rsid w:val="3F395583"/>
    <w:rsid w:val="3F40798A"/>
    <w:rsid w:val="3F470D43"/>
    <w:rsid w:val="3F5377BC"/>
    <w:rsid w:val="3F553D74"/>
    <w:rsid w:val="3F8064D7"/>
    <w:rsid w:val="3F967246"/>
    <w:rsid w:val="3FAA799C"/>
    <w:rsid w:val="3FAB221E"/>
    <w:rsid w:val="3FBF0AD3"/>
    <w:rsid w:val="3FCE76B0"/>
    <w:rsid w:val="3FDF5186"/>
    <w:rsid w:val="3FE63642"/>
    <w:rsid w:val="400966B5"/>
    <w:rsid w:val="401E3DB1"/>
    <w:rsid w:val="4034337D"/>
    <w:rsid w:val="405B41A1"/>
    <w:rsid w:val="407420FB"/>
    <w:rsid w:val="407C24CF"/>
    <w:rsid w:val="40806D30"/>
    <w:rsid w:val="4085076A"/>
    <w:rsid w:val="40862F22"/>
    <w:rsid w:val="40AB60D9"/>
    <w:rsid w:val="40AF30BC"/>
    <w:rsid w:val="40E64E9A"/>
    <w:rsid w:val="41130281"/>
    <w:rsid w:val="41334B86"/>
    <w:rsid w:val="41351C68"/>
    <w:rsid w:val="413D3EC4"/>
    <w:rsid w:val="41414E62"/>
    <w:rsid w:val="416F754E"/>
    <w:rsid w:val="41780330"/>
    <w:rsid w:val="41904E91"/>
    <w:rsid w:val="41956A0C"/>
    <w:rsid w:val="41AE7837"/>
    <w:rsid w:val="41B519BD"/>
    <w:rsid w:val="41BA67B5"/>
    <w:rsid w:val="41BA7E70"/>
    <w:rsid w:val="41BB23FB"/>
    <w:rsid w:val="41D20325"/>
    <w:rsid w:val="41DB2819"/>
    <w:rsid w:val="41EE0D4F"/>
    <w:rsid w:val="41FC4161"/>
    <w:rsid w:val="42052D95"/>
    <w:rsid w:val="420B1123"/>
    <w:rsid w:val="420B4F14"/>
    <w:rsid w:val="4237088B"/>
    <w:rsid w:val="428A429C"/>
    <w:rsid w:val="428B6885"/>
    <w:rsid w:val="42906A44"/>
    <w:rsid w:val="42A415DE"/>
    <w:rsid w:val="42D305CE"/>
    <w:rsid w:val="42E36C5D"/>
    <w:rsid w:val="42E52701"/>
    <w:rsid w:val="42ED03DB"/>
    <w:rsid w:val="42F66C22"/>
    <w:rsid w:val="43053AE6"/>
    <w:rsid w:val="43085A3B"/>
    <w:rsid w:val="433E3343"/>
    <w:rsid w:val="4373747F"/>
    <w:rsid w:val="438D7468"/>
    <w:rsid w:val="438F1D9B"/>
    <w:rsid w:val="438F44B4"/>
    <w:rsid w:val="439067D5"/>
    <w:rsid w:val="43977D17"/>
    <w:rsid w:val="43AF5841"/>
    <w:rsid w:val="43B038A3"/>
    <w:rsid w:val="43BF2D22"/>
    <w:rsid w:val="43DD6205"/>
    <w:rsid w:val="43F07D1E"/>
    <w:rsid w:val="440F49DD"/>
    <w:rsid w:val="44106909"/>
    <w:rsid w:val="442E7966"/>
    <w:rsid w:val="4434221F"/>
    <w:rsid w:val="444177EC"/>
    <w:rsid w:val="44417F14"/>
    <w:rsid w:val="444F28C7"/>
    <w:rsid w:val="4456483A"/>
    <w:rsid w:val="44611A8F"/>
    <w:rsid w:val="447C75A6"/>
    <w:rsid w:val="44A0270A"/>
    <w:rsid w:val="44AB3C41"/>
    <w:rsid w:val="44AB51EB"/>
    <w:rsid w:val="44F25967"/>
    <w:rsid w:val="44F40442"/>
    <w:rsid w:val="451C0059"/>
    <w:rsid w:val="452F49E2"/>
    <w:rsid w:val="45311463"/>
    <w:rsid w:val="45501DAF"/>
    <w:rsid w:val="456448D4"/>
    <w:rsid w:val="457174CF"/>
    <w:rsid w:val="458C7895"/>
    <w:rsid w:val="459557C4"/>
    <w:rsid w:val="45AA4AD2"/>
    <w:rsid w:val="45AE4BB8"/>
    <w:rsid w:val="45B80E28"/>
    <w:rsid w:val="45BC0EBC"/>
    <w:rsid w:val="45D1456B"/>
    <w:rsid w:val="45D53ED0"/>
    <w:rsid w:val="45FF1C64"/>
    <w:rsid w:val="46164CEE"/>
    <w:rsid w:val="464F3C74"/>
    <w:rsid w:val="46601F98"/>
    <w:rsid w:val="466744A5"/>
    <w:rsid w:val="466852D6"/>
    <w:rsid w:val="466D3342"/>
    <w:rsid w:val="467A3B2C"/>
    <w:rsid w:val="46867C5A"/>
    <w:rsid w:val="4691548C"/>
    <w:rsid w:val="46951F49"/>
    <w:rsid w:val="469F4E35"/>
    <w:rsid w:val="46AA26BD"/>
    <w:rsid w:val="46AA7451"/>
    <w:rsid w:val="46C4380F"/>
    <w:rsid w:val="46C84C9D"/>
    <w:rsid w:val="46CD18CA"/>
    <w:rsid w:val="46D35C01"/>
    <w:rsid w:val="46EA2657"/>
    <w:rsid w:val="46F741B4"/>
    <w:rsid w:val="46F8593B"/>
    <w:rsid w:val="47064012"/>
    <w:rsid w:val="4721661C"/>
    <w:rsid w:val="472B7DBA"/>
    <w:rsid w:val="473460BA"/>
    <w:rsid w:val="47493D73"/>
    <w:rsid w:val="47647B18"/>
    <w:rsid w:val="4771744E"/>
    <w:rsid w:val="479009E9"/>
    <w:rsid w:val="47AB41C6"/>
    <w:rsid w:val="47AB5858"/>
    <w:rsid w:val="47C65AE0"/>
    <w:rsid w:val="47DC518A"/>
    <w:rsid w:val="47DD6023"/>
    <w:rsid w:val="47F461D0"/>
    <w:rsid w:val="48021D20"/>
    <w:rsid w:val="480B3AA1"/>
    <w:rsid w:val="48100516"/>
    <w:rsid w:val="481E0F96"/>
    <w:rsid w:val="482B10B3"/>
    <w:rsid w:val="482E665C"/>
    <w:rsid w:val="483A4A2F"/>
    <w:rsid w:val="48402A6B"/>
    <w:rsid w:val="484D7AE6"/>
    <w:rsid w:val="48526BD2"/>
    <w:rsid w:val="486A6174"/>
    <w:rsid w:val="489E3DFA"/>
    <w:rsid w:val="489F1A32"/>
    <w:rsid w:val="48B55EF2"/>
    <w:rsid w:val="48BC5246"/>
    <w:rsid w:val="49063272"/>
    <w:rsid w:val="491F69AB"/>
    <w:rsid w:val="493B495E"/>
    <w:rsid w:val="49567AA8"/>
    <w:rsid w:val="496E375F"/>
    <w:rsid w:val="49857FAC"/>
    <w:rsid w:val="49A144A1"/>
    <w:rsid w:val="49A64729"/>
    <w:rsid w:val="49AA1350"/>
    <w:rsid w:val="49CB6D8C"/>
    <w:rsid w:val="49CE72FB"/>
    <w:rsid w:val="49D527C7"/>
    <w:rsid w:val="4A0F6384"/>
    <w:rsid w:val="4A132E77"/>
    <w:rsid w:val="4A1A43D6"/>
    <w:rsid w:val="4A2B52DC"/>
    <w:rsid w:val="4A340A7F"/>
    <w:rsid w:val="4A41015F"/>
    <w:rsid w:val="4A420254"/>
    <w:rsid w:val="4A467ED5"/>
    <w:rsid w:val="4A4B19C0"/>
    <w:rsid w:val="4A5A0BC1"/>
    <w:rsid w:val="4A67536A"/>
    <w:rsid w:val="4A824ECC"/>
    <w:rsid w:val="4AAA5D79"/>
    <w:rsid w:val="4AB31F70"/>
    <w:rsid w:val="4AB479AD"/>
    <w:rsid w:val="4ABA1183"/>
    <w:rsid w:val="4AE84C04"/>
    <w:rsid w:val="4AF41EC3"/>
    <w:rsid w:val="4B06675B"/>
    <w:rsid w:val="4B071EA7"/>
    <w:rsid w:val="4B102858"/>
    <w:rsid w:val="4B405EF3"/>
    <w:rsid w:val="4B43378F"/>
    <w:rsid w:val="4B691FB4"/>
    <w:rsid w:val="4B78376A"/>
    <w:rsid w:val="4B97645B"/>
    <w:rsid w:val="4BB74E73"/>
    <w:rsid w:val="4BD019F4"/>
    <w:rsid w:val="4BDC4123"/>
    <w:rsid w:val="4BDE3B04"/>
    <w:rsid w:val="4BEC0201"/>
    <w:rsid w:val="4C0B5075"/>
    <w:rsid w:val="4C253897"/>
    <w:rsid w:val="4C28266E"/>
    <w:rsid w:val="4C582A94"/>
    <w:rsid w:val="4C8513D2"/>
    <w:rsid w:val="4C9038A8"/>
    <w:rsid w:val="4CD914BA"/>
    <w:rsid w:val="4CE341F4"/>
    <w:rsid w:val="4CE4342E"/>
    <w:rsid w:val="4CE46BC2"/>
    <w:rsid w:val="4D24678E"/>
    <w:rsid w:val="4D4312A1"/>
    <w:rsid w:val="4D511A34"/>
    <w:rsid w:val="4D76024F"/>
    <w:rsid w:val="4D841AA7"/>
    <w:rsid w:val="4D865ACB"/>
    <w:rsid w:val="4D9971E4"/>
    <w:rsid w:val="4DA74020"/>
    <w:rsid w:val="4DA9231B"/>
    <w:rsid w:val="4DC64010"/>
    <w:rsid w:val="4DCD20DB"/>
    <w:rsid w:val="4DEC5AE6"/>
    <w:rsid w:val="4DF92CEE"/>
    <w:rsid w:val="4DFC251F"/>
    <w:rsid w:val="4E311692"/>
    <w:rsid w:val="4E3343DD"/>
    <w:rsid w:val="4E5A1AAC"/>
    <w:rsid w:val="4E796826"/>
    <w:rsid w:val="4EA23511"/>
    <w:rsid w:val="4EA60DCF"/>
    <w:rsid w:val="4EB536C3"/>
    <w:rsid w:val="4EC07358"/>
    <w:rsid w:val="4ED14E80"/>
    <w:rsid w:val="4EDB24EC"/>
    <w:rsid w:val="4EE475CD"/>
    <w:rsid w:val="4EF6134A"/>
    <w:rsid w:val="4F396529"/>
    <w:rsid w:val="4F3E53FB"/>
    <w:rsid w:val="4F3F58B4"/>
    <w:rsid w:val="4F553197"/>
    <w:rsid w:val="4F577DFB"/>
    <w:rsid w:val="4F9B1494"/>
    <w:rsid w:val="4F9C5BE3"/>
    <w:rsid w:val="4FA77A5C"/>
    <w:rsid w:val="4FA97ADE"/>
    <w:rsid w:val="4FB64A96"/>
    <w:rsid w:val="4FC02E4C"/>
    <w:rsid w:val="4FD7450A"/>
    <w:rsid w:val="4FEA45AF"/>
    <w:rsid w:val="4FEA6AF9"/>
    <w:rsid w:val="4FEE0C77"/>
    <w:rsid w:val="4FFA5761"/>
    <w:rsid w:val="4FFE5B72"/>
    <w:rsid w:val="500E7233"/>
    <w:rsid w:val="50123BC0"/>
    <w:rsid w:val="50125B57"/>
    <w:rsid w:val="506B057F"/>
    <w:rsid w:val="5095221A"/>
    <w:rsid w:val="50AB00D6"/>
    <w:rsid w:val="50AE4856"/>
    <w:rsid w:val="50B421C0"/>
    <w:rsid w:val="50B70EA8"/>
    <w:rsid w:val="50BA6772"/>
    <w:rsid w:val="50BA6A29"/>
    <w:rsid w:val="50CB601A"/>
    <w:rsid w:val="50D2253B"/>
    <w:rsid w:val="50E9548C"/>
    <w:rsid w:val="51147954"/>
    <w:rsid w:val="511928E6"/>
    <w:rsid w:val="51203A4C"/>
    <w:rsid w:val="51323DE6"/>
    <w:rsid w:val="5144288F"/>
    <w:rsid w:val="51551C56"/>
    <w:rsid w:val="5156562C"/>
    <w:rsid w:val="51580054"/>
    <w:rsid w:val="51607F5A"/>
    <w:rsid w:val="51700899"/>
    <w:rsid w:val="518202BE"/>
    <w:rsid w:val="519C68A1"/>
    <w:rsid w:val="51A412E2"/>
    <w:rsid w:val="51E14AA7"/>
    <w:rsid w:val="51E42B83"/>
    <w:rsid w:val="5204219E"/>
    <w:rsid w:val="520424E3"/>
    <w:rsid w:val="52313A50"/>
    <w:rsid w:val="523D58A7"/>
    <w:rsid w:val="524D6857"/>
    <w:rsid w:val="527226C8"/>
    <w:rsid w:val="52894A70"/>
    <w:rsid w:val="5298788F"/>
    <w:rsid w:val="529E0B16"/>
    <w:rsid w:val="52C50716"/>
    <w:rsid w:val="52CF41E8"/>
    <w:rsid w:val="52EC4975"/>
    <w:rsid w:val="530804F5"/>
    <w:rsid w:val="53250E5A"/>
    <w:rsid w:val="534E0588"/>
    <w:rsid w:val="53533D68"/>
    <w:rsid w:val="53640E00"/>
    <w:rsid w:val="536F7331"/>
    <w:rsid w:val="537417A0"/>
    <w:rsid w:val="53943EC5"/>
    <w:rsid w:val="53A25708"/>
    <w:rsid w:val="53B20987"/>
    <w:rsid w:val="53B61EB6"/>
    <w:rsid w:val="53D11DB1"/>
    <w:rsid w:val="53D577D4"/>
    <w:rsid w:val="53DA605F"/>
    <w:rsid w:val="53E4121C"/>
    <w:rsid w:val="53EC2B31"/>
    <w:rsid w:val="541B4773"/>
    <w:rsid w:val="541F4BD2"/>
    <w:rsid w:val="542127E0"/>
    <w:rsid w:val="54275947"/>
    <w:rsid w:val="54297599"/>
    <w:rsid w:val="54303C0B"/>
    <w:rsid w:val="544D6BBE"/>
    <w:rsid w:val="545F56B9"/>
    <w:rsid w:val="549B7E6E"/>
    <w:rsid w:val="54A52DAC"/>
    <w:rsid w:val="54AB3880"/>
    <w:rsid w:val="54B0008E"/>
    <w:rsid w:val="54C9247D"/>
    <w:rsid w:val="54E4148C"/>
    <w:rsid w:val="54F175CD"/>
    <w:rsid w:val="54F86EE6"/>
    <w:rsid w:val="550E4252"/>
    <w:rsid w:val="55242A6A"/>
    <w:rsid w:val="552F1C26"/>
    <w:rsid w:val="553E5310"/>
    <w:rsid w:val="5544709D"/>
    <w:rsid w:val="55470886"/>
    <w:rsid w:val="554E25E6"/>
    <w:rsid w:val="5557610F"/>
    <w:rsid w:val="555D65E0"/>
    <w:rsid w:val="556906FB"/>
    <w:rsid w:val="557E1851"/>
    <w:rsid w:val="55A133CC"/>
    <w:rsid w:val="55A723CA"/>
    <w:rsid w:val="55AF2063"/>
    <w:rsid w:val="55B13F9B"/>
    <w:rsid w:val="55DE3541"/>
    <w:rsid w:val="55E85158"/>
    <w:rsid w:val="55F9253B"/>
    <w:rsid w:val="56034097"/>
    <w:rsid w:val="56056413"/>
    <w:rsid w:val="56066F9E"/>
    <w:rsid w:val="56702CA3"/>
    <w:rsid w:val="56A42D7A"/>
    <w:rsid w:val="56AC5ED0"/>
    <w:rsid w:val="56C22421"/>
    <w:rsid w:val="56C36F78"/>
    <w:rsid w:val="56DA1D2E"/>
    <w:rsid w:val="56F35790"/>
    <w:rsid w:val="56FD08DB"/>
    <w:rsid w:val="5706013F"/>
    <w:rsid w:val="5706053F"/>
    <w:rsid w:val="57080D76"/>
    <w:rsid w:val="570D1CEC"/>
    <w:rsid w:val="57122A24"/>
    <w:rsid w:val="571342F9"/>
    <w:rsid w:val="572312DA"/>
    <w:rsid w:val="572467F4"/>
    <w:rsid w:val="572B5180"/>
    <w:rsid w:val="573C66D7"/>
    <w:rsid w:val="5754101B"/>
    <w:rsid w:val="5768048A"/>
    <w:rsid w:val="57726BDE"/>
    <w:rsid w:val="578215E2"/>
    <w:rsid w:val="57996DF4"/>
    <w:rsid w:val="57AD3521"/>
    <w:rsid w:val="57D26822"/>
    <w:rsid w:val="57D91D4A"/>
    <w:rsid w:val="57DF3FB5"/>
    <w:rsid w:val="57E056CD"/>
    <w:rsid w:val="57FC314B"/>
    <w:rsid w:val="581F6999"/>
    <w:rsid w:val="585551F6"/>
    <w:rsid w:val="585C7971"/>
    <w:rsid w:val="58853FDA"/>
    <w:rsid w:val="58A0799B"/>
    <w:rsid w:val="58B86A7D"/>
    <w:rsid w:val="58E96D46"/>
    <w:rsid w:val="5912120B"/>
    <w:rsid w:val="592177FC"/>
    <w:rsid w:val="59510834"/>
    <w:rsid w:val="59601FF5"/>
    <w:rsid w:val="59607284"/>
    <w:rsid w:val="59765EA8"/>
    <w:rsid w:val="59826597"/>
    <w:rsid w:val="598C5A0F"/>
    <w:rsid w:val="598F30CA"/>
    <w:rsid w:val="59996DA9"/>
    <w:rsid w:val="59A10533"/>
    <w:rsid w:val="59AC79C1"/>
    <w:rsid w:val="59B55F44"/>
    <w:rsid w:val="59BC6BA7"/>
    <w:rsid w:val="59C169F9"/>
    <w:rsid w:val="59C5056A"/>
    <w:rsid w:val="59CE0B0F"/>
    <w:rsid w:val="59D87FB1"/>
    <w:rsid w:val="59E809F6"/>
    <w:rsid w:val="5A0F7D22"/>
    <w:rsid w:val="5A142930"/>
    <w:rsid w:val="5A1F5929"/>
    <w:rsid w:val="5A413C03"/>
    <w:rsid w:val="5A445162"/>
    <w:rsid w:val="5A4C4B68"/>
    <w:rsid w:val="5A5C7E2E"/>
    <w:rsid w:val="5A705B3D"/>
    <w:rsid w:val="5A7D61B6"/>
    <w:rsid w:val="5A855760"/>
    <w:rsid w:val="5A892F0E"/>
    <w:rsid w:val="5A927B87"/>
    <w:rsid w:val="5A9B4B77"/>
    <w:rsid w:val="5AAE0A6F"/>
    <w:rsid w:val="5ACF0318"/>
    <w:rsid w:val="5ADA6A1A"/>
    <w:rsid w:val="5ADF2C22"/>
    <w:rsid w:val="5AF50889"/>
    <w:rsid w:val="5AFD24BC"/>
    <w:rsid w:val="5B030BF9"/>
    <w:rsid w:val="5B0C0A05"/>
    <w:rsid w:val="5B1134F5"/>
    <w:rsid w:val="5B1C1330"/>
    <w:rsid w:val="5B1F4CF7"/>
    <w:rsid w:val="5B3175F5"/>
    <w:rsid w:val="5B604CDF"/>
    <w:rsid w:val="5B735FF0"/>
    <w:rsid w:val="5B836749"/>
    <w:rsid w:val="5B86544E"/>
    <w:rsid w:val="5B87196B"/>
    <w:rsid w:val="5B9C0AB8"/>
    <w:rsid w:val="5BB5241F"/>
    <w:rsid w:val="5BB65ECE"/>
    <w:rsid w:val="5BCD736F"/>
    <w:rsid w:val="5BD22875"/>
    <w:rsid w:val="5BD30DD9"/>
    <w:rsid w:val="5BD7150F"/>
    <w:rsid w:val="5BDF7534"/>
    <w:rsid w:val="5BEC2ABA"/>
    <w:rsid w:val="5BEE3A39"/>
    <w:rsid w:val="5BF97E0E"/>
    <w:rsid w:val="5BFD3B7C"/>
    <w:rsid w:val="5C0346F9"/>
    <w:rsid w:val="5C20062E"/>
    <w:rsid w:val="5C3C2A13"/>
    <w:rsid w:val="5C43267B"/>
    <w:rsid w:val="5C4D01C3"/>
    <w:rsid w:val="5C5B5829"/>
    <w:rsid w:val="5C6C6BEE"/>
    <w:rsid w:val="5C6D6368"/>
    <w:rsid w:val="5C721A44"/>
    <w:rsid w:val="5C793DB9"/>
    <w:rsid w:val="5C9F2E73"/>
    <w:rsid w:val="5CA8185D"/>
    <w:rsid w:val="5CC93B10"/>
    <w:rsid w:val="5CD00AAC"/>
    <w:rsid w:val="5CD06D65"/>
    <w:rsid w:val="5CDE4D32"/>
    <w:rsid w:val="5D0576FB"/>
    <w:rsid w:val="5D1A5E38"/>
    <w:rsid w:val="5D1E23A3"/>
    <w:rsid w:val="5D1E2984"/>
    <w:rsid w:val="5D2075CD"/>
    <w:rsid w:val="5D230391"/>
    <w:rsid w:val="5D2D0D77"/>
    <w:rsid w:val="5D314E09"/>
    <w:rsid w:val="5D42534E"/>
    <w:rsid w:val="5D4A7AC5"/>
    <w:rsid w:val="5D5572D2"/>
    <w:rsid w:val="5D5B1D99"/>
    <w:rsid w:val="5D786332"/>
    <w:rsid w:val="5D8727E5"/>
    <w:rsid w:val="5DA51F18"/>
    <w:rsid w:val="5DF617F0"/>
    <w:rsid w:val="5E236C8D"/>
    <w:rsid w:val="5E3F47F3"/>
    <w:rsid w:val="5E595F4C"/>
    <w:rsid w:val="5E5C50BF"/>
    <w:rsid w:val="5E6425BF"/>
    <w:rsid w:val="5E65717E"/>
    <w:rsid w:val="5E7B58EC"/>
    <w:rsid w:val="5E7E23E2"/>
    <w:rsid w:val="5E7F0949"/>
    <w:rsid w:val="5E8A4453"/>
    <w:rsid w:val="5EC32768"/>
    <w:rsid w:val="5EC94197"/>
    <w:rsid w:val="5ED17E65"/>
    <w:rsid w:val="5EE0784A"/>
    <w:rsid w:val="5EE926E9"/>
    <w:rsid w:val="5EE97588"/>
    <w:rsid w:val="5EF20148"/>
    <w:rsid w:val="5F1C7A1F"/>
    <w:rsid w:val="5F341FF4"/>
    <w:rsid w:val="5F397D45"/>
    <w:rsid w:val="5F4B313B"/>
    <w:rsid w:val="5F4F5621"/>
    <w:rsid w:val="5F511BB1"/>
    <w:rsid w:val="5F6D47BA"/>
    <w:rsid w:val="5F6E2DCA"/>
    <w:rsid w:val="5F8A282E"/>
    <w:rsid w:val="5FD81B05"/>
    <w:rsid w:val="5FD90E7D"/>
    <w:rsid w:val="5FF6336B"/>
    <w:rsid w:val="5FFB5E04"/>
    <w:rsid w:val="601D2F02"/>
    <w:rsid w:val="603A3035"/>
    <w:rsid w:val="603B60D9"/>
    <w:rsid w:val="6063674F"/>
    <w:rsid w:val="60AC1F87"/>
    <w:rsid w:val="60BE5EA9"/>
    <w:rsid w:val="60D00471"/>
    <w:rsid w:val="60DC14CC"/>
    <w:rsid w:val="60FF1406"/>
    <w:rsid w:val="612400B1"/>
    <w:rsid w:val="612537AE"/>
    <w:rsid w:val="61297814"/>
    <w:rsid w:val="61314A3A"/>
    <w:rsid w:val="6141098D"/>
    <w:rsid w:val="61531DB2"/>
    <w:rsid w:val="615833A3"/>
    <w:rsid w:val="61727C85"/>
    <w:rsid w:val="619448FF"/>
    <w:rsid w:val="61A575A0"/>
    <w:rsid w:val="61C806A8"/>
    <w:rsid w:val="61DF2556"/>
    <w:rsid w:val="622E58C5"/>
    <w:rsid w:val="626A0E6E"/>
    <w:rsid w:val="627403C2"/>
    <w:rsid w:val="628140A6"/>
    <w:rsid w:val="628E328B"/>
    <w:rsid w:val="62A56970"/>
    <w:rsid w:val="62B32CEF"/>
    <w:rsid w:val="62BE511E"/>
    <w:rsid w:val="62F30A7A"/>
    <w:rsid w:val="62F3165E"/>
    <w:rsid w:val="631E222D"/>
    <w:rsid w:val="63313EBB"/>
    <w:rsid w:val="636E5C34"/>
    <w:rsid w:val="637E0327"/>
    <w:rsid w:val="639B0953"/>
    <w:rsid w:val="639B3553"/>
    <w:rsid w:val="63AD1985"/>
    <w:rsid w:val="63BD1CE7"/>
    <w:rsid w:val="63D74E9F"/>
    <w:rsid w:val="63DE4354"/>
    <w:rsid w:val="63E741D8"/>
    <w:rsid w:val="63ED74DE"/>
    <w:rsid w:val="63F459FC"/>
    <w:rsid w:val="63F501CD"/>
    <w:rsid w:val="63F5766C"/>
    <w:rsid w:val="64071787"/>
    <w:rsid w:val="640A4139"/>
    <w:rsid w:val="640A5372"/>
    <w:rsid w:val="640D382E"/>
    <w:rsid w:val="640D4527"/>
    <w:rsid w:val="641C50A9"/>
    <w:rsid w:val="642A67B5"/>
    <w:rsid w:val="642E7CA6"/>
    <w:rsid w:val="643914E5"/>
    <w:rsid w:val="64526164"/>
    <w:rsid w:val="64595051"/>
    <w:rsid w:val="645A28E2"/>
    <w:rsid w:val="645E59AD"/>
    <w:rsid w:val="64605BF5"/>
    <w:rsid w:val="64671409"/>
    <w:rsid w:val="646D53B5"/>
    <w:rsid w:val="64956C03"/>
    <w:rsid w:val="64E2162B"/>
    <w:rsid w:val="64E30C60"/>
    <w:rsid w:val="64E81568"/>
    <w:rsid w:val="64FD5601"/>
    <w:rsid w:val="650440FD"/>
    <w:rsid w:val="650613CD"/>
    <w:rsid w:val="650E6BF3"/>
    <w:rsid w:val="6514292A"/>
    <w:rsid w:val="6518208F"/>
    <w:rsid w:val="65196556"/>
    <w:rsid w:val="65454B28"/>
    <w:rsid w:val="656A4C15"/>
    <w:rsid w:val="657A64BB"/>
    <w:rsid w:val="657F727A"/>
    <w:rsid w:val="659324AD"/>
    <w:rsid w:val="65933814"/>
    <w:rsid w:val="65A92399"/>
    <w:rsid w:val="65AC519A"/>
    <w:rsid w:val="65E62049"/>
    <w:rsid w:val="65E66712"/>
    <w:rsid w:val="65F51B70"/>
    <w:rsid w:val="66081FE4"/>
    <w:rsid w:val="660C6FF1"/>
    <w:rsid w:val="66371620"/>
    <w:rsid w:val="663D08BC"/>
    <w:rsid w:val="66440A25"/>
    <w:rsid w:val="665937E3"/>
    <w:rsid w:val="66783160"/>
    <w:rsid w:val="66A80DB6"/>
    <w:rsid w:val="66AC74F5"/>
    <w:rsid w:val="66B036AA"/>
    <w:rsid w:val="66F824FD"/>
    <w:rsid w:val="66F84618"/>
    <w:rsid w:val="672002B4"/>
    <w:rsid w:val="672E2721"/>
    <w:rsid w:val="67576C8D"/>
    <w:rsid w:val="67767C08"/>
    <w:rsid w:val="67882F0A"/>
    <w:rsid w:val="67890635"/>
    <w:rsid w:val="67913AF7"/>
    <w:rsid w:val="679C7620"/>
    <w:rsid w:val="679E76E8"/>
    <w:rsid w:val="67A01D36"/>
    <w:rsid w:val="67B4221B"/>
    <w:rsid w:val="67B86043"/>
    <w:rsid w:val="67BC0790"/>
    <w:rsid w:val="67EA1CBE"/>
    <w:rsid w:val="67EB4052"/>
    <w:rsid w:val="67FA0C15"/>
    <w:rsid w:val="680D2711"/>
    <w:rsid w:val="6821479D"/>
    <w:rsid w:val="682A5E67"/>
    <w:rsid w:val="682C5482"/>
    <w:rsid w:val="68367249"/>
    <w:rsid w:val="68374713"/>
    <w:rsid w:val="684F7671"/>
    <w:rsid w:val="685B3DBC"/>
    <w:rsid w:val="686C4CA7"/>
    <w:rsid w:val="688E6B42"/>
    <w:rsid w:val="689046D8"/>
    <w:rsid w:val="689C19A7"/>
    <w:rsid w:val="68A04824"/>
    <w:rsid w:val="68A27318"/>
    <w:rsid w:val="68B83FCD"/>
    <w:rsid w:val="68BC5D09"/>
    <w:rsid w:val="68C40153"/>
    <w:rsid w:val="68C512EC"/>
    <w:rsid w:val="68C61FAA"/>
    <w:rsid w:val="68CD3FED"/>
    <w:rsid w:val="68D47271"/>
    <w:rsid w:val="68DB58B3"/>
    <w:rsid w:val="68FA7858"/>
    <w:rsid w:val="69017ACE"/>
    <w:rsid w:val="69144CC0"/>
    <w:rsid w:val="693A48DC"/>
    <w:rsid w:val="69637FF4"/>
    <w:rsid w:val="69650C1F"/>
    <w:rsid w:val="69683388"/>
    <w:rsid w:val="69744451"/>
    <w:rsid w:val="69812368"/>
    <w:rsid w:val="699A3830"/>
    <w:rsid w:val="69C35137"/>
    <w:rsid w:val="69CF6FFA"/>
    <w:rsid w:val="69D129B7"/>
    <w:rsid w:val="69D271BF"/>
    <w:rsid w:val="69E678C6"/>
    <w:rsid w:val="69E92D8D"/>
    <w:rsid w:val="6A1A7606"/>
    <w:rsid w:val="6A2229ED"/>
    <w:rsid w:val="6A3D2D19"/>
    <w:rsid w:val="6A763C2C"/>
    <w:rsid w:val="6A8022B0"/>
    <w:rsid w:val="6A843A8E"/>
    <w:rsid w:val="6A912590"/>
    <w:rsid w:val="6A917224"/>
    <w:rsid w:val="6A9668E4"/>
    <w:rsid w:val="6A9C62FC"/>
    <w:rsid w:val="6AA866BA"/>
    <w:rsid w:val="6AB774CE"/>
    <w:rsid w:val="6ABD3EE1"/>
    <w:rsid w:val="6ACB471C"/>
    <w:rsid w:val="6ACC00F1"/>
    <w:rsid w:val="6AD301C7"/>
    <w:rsid w:val="6ADD40C5"/>
    <w:rsid w:val="6AFC0248"/>
    <w:rsid w:val="6B115076"/>
    <w:rsid w:val="6B15491F"/>
    <w:rsid w:val="6B1726BA"/>
    <w:rsid w:val="6B5F76FC"/>
    <w:rsid w:val="6B785B87"/>
    <w:rsid w:val="6B8A30B6"/>
    <w:rsid w:val="6B936FB3"/>
    <w:rsid w:val="6B9375DA"/>
    <w:rsid w:val="6BA32A9A"/>
    <w:rsid w:val="6BA76870"/>
    <w:rsid w:val="6BD53BA1"/>
    <w:rsid w:val="6BDE7973"/>
    <w:rsid w:val="6BE65745"/>
    <w:rsid w:val="6BE912C0"/>
    <w:rsid w:val="6BEF1695"/>
    <w:rsid w:val="6C3001FD"/>
    <w:rsid w:val="6C365A73"/>
    <w:rsid w:val="6C410C00"/>
    <w:rsid w:val="6C5C1842"/>
    <w:rsid w:val="6C6667F4"/>
    <w:rsid w:val="6C787E50"/>
    <w:rsid w:val="6C7B102A"/>
    <w:rsid w:val="6C7C6C3F"/>
    <w:rsid w:val="6C7C787B"/>
    <w:rsid w:val="6C7D2FC6"/>
    <w:rsid w:val="6C8D532E"/>
    <w:rsid w:val="6C91192B"/>
    <w:rsid w:val="6C9E700E"/>
    <w:rsid w:val="6CA155DB"/>
    <w:rsid w:val="6CC43B00"/>
    <w:rsid w:val="6CCE108A"/>
    <w:rsid w:val="6CD55849"/>
    <w:rsid w:val="6CEF7C48"/>
    <w:rsid w:val="6CF94688"/>
    <w:rsid w:val="6CFB34EE"/>
    <w:rsid w:val="6D000E28"/>
    <w:rsid w:val="6D0C719F"/>
    <w:rsid w:val="6D2E0652"/>
    <w:rsid w:val="6D3E131B"/>
    <w:rsid w:val="6D5118E8"/>
    <w:rsid w:val="6D5E3CE3"/>
    <w:rsid w:val="6D671D25"/>
    <w:rsid w:val="6D6856E5"/>
    <w:rsid w:val="6D6B17E5"/>
    <w:rsid w:val="6D7F5EC2"/>
    <w:rsid w:val="6D8B4B30"/>
    <w:rsid w:val="6D904F42"/>
    <w:rsid w:val="6D9715BD"/>
    <w:rsid w:val="6DA4731F"/>
    <w:rsid w:val="6DB13D2D"/>
    <w:rsid w:val="6DB2311B"/>
    <w:rsid w:val="6DF53564"/>
    <w:rsid w:val="6E0A7DDD"/>
    <w:rsid w:val="6E1C37FD"/>
    <w:rsid w:val="6E1E312F"/>
    <w:rsid w:val="6E204D42"/>
    <w:rsid w:val="6E2B6E8E"/>
    <w:rsid w:val="6E326006"/>
    <w:rsid w:val="6E3E2AAF"/>
    <w:rsid w:val="6E3F1EC0"/>
    <w:rsid w:val="6E5543E8"/>
    <w:rsid w:val="6E5F7C58"/>
    <w:rsid w:val="6E6F53F4"/>
    <w:rsid w:val="6E7B7BAA"/>
    <w:rsid w:val="6E831286"/>
    <w:rsid w:val="6E96597A"/>
    <w:rsid w:val="6E9A4712"/>
    <w:rsid w:val="6EC34399"/>
    <w:rsid w:val="6ECF657F"/>
    <w:rsid w:val="6EE34E5E"/>
    <w:rsid w:val="6F0313A7"/>
    <w:rsid w:val="6F0C5AD3"/>
    <w:rsid w:val="6F255F77"/>
    <w:rsid w:val="6F26731D"/>
    <w:rsid w:val="6F3C2421"/>
    <w:rsid w:val="6F4B5873"/>
    <w:rsid w:val="6F5F15A1"/>
    <w:rsid w:val="6F803C30"/>
    <w:rsid w:val="6FA2172F"/>
    <w:rsid w:val="6FAD7B1E"/>
    <w:rsid w:val="6FB83BD1"/>
    <w:rsid w:val="6FEA320D"/>
    <w:rsid w:val="6FFC3729"/>
    <w:rsid w:val="6FFE5087"/>
    <w:rsid w:val="7017077B"/>
    <w:rsid w:val="701A7105"/>
    <w:rsid w:val="701C6D15"/>
    <w:rsid w:val="701D3556"/>
    <w:rsid w:val="701F43FF"/>
    <w:rsid w:val="703D01FC"/>
    <w:rsid w:val="7041576B"/>
    <w:rsid w:val="704548A7"/>
    <w:rsid w:val="705A4DC4"/>
    <w:rsid w:val="70647078"/>
    <w:rsid w:val="7084764A"/>
    <w:rsid w:val="70854A38"/>
    <w:rsid w:val="708723E6"/>
    <w:rsid w:val="708A2370"/>
    <w:rsid w:val="70CB50D0"/>
    <w:rsid w:val="7110058F"/>
    <w:rsid w:val="713C3EBC"/>
    <w:rsid w:val="716727F7"/>
    <w:rsid w:val="716F3D5E"/>
    <w:rsid w:val="7170513A"/>
    <w:rsid w:val="718A1659"/>
    <w:rsid w:val="71AD46A4"/>
    <w:rsid w:val="71B61B1C"/>
    <w:rsid w:val="71CD72E1"/>
    <w:rsid w:val="71D61FC3"/>
    <w:rsid w:val="71DA6848"/>
    <w:rsid w:val="71FD52C7"/>
    <w:rsid w:val="72004364"/>
    <w:rsid w:val="721106DE"/>
    <w:rsid w:val="722E114C"/>
    <w:rsid w:val="723C2C6B"/>
    <w:rsid w:val="72526494"/>
    <w:rsid w:val="726F1B71"/>
    <w:rsid w:val="72AF099E"/>
    <w:rsid w:val="72BA21EC"/>
    <w:rsid w:val="72BE210D"/>
    <w:rsid w:val="72C12700"/>
    <w:rsid w:val="72C3290F"/>
    <w:rsid w:val="72D96C84"/>
    <w:rsid w:val="72E351D9"/>
    <w:rsid w:val="72FF6EFE"/>
    <w:rsid w:val="73027750"/>
    <w:rsid w:val="730B5BE0"/>
    <w:rsid w:val="730E16F5"/>
    <w:rsid w:val="73136D7C"/>
    <w:rsid w:val="73142D7C"/>
    <w:rsid w:val="7322413B"/>
    <w:rsid w:val="73234271"/>
    <w:rsid w:val="7335128C"/>
    <w:rsid w:val="7344665E"/>
    <w:rsid w:val="73862281"/>
    <w:rsid w:val="73A27C94"/>
    <w:rsid w:val="73BC00A5"/>
    <w:rsid w:val="73C270AA"/>
    <w:rsid w:val="73C42DC8"/>
    <w:rsid w:val="73CC1F97"/>
    <w:rsid w:val="73D078A6"/>
    <w:rsid w:val="73DC3B42"/>
    <w:rsid w:val="73E70279"/>
    <w:rsid w:val="73F32AC4"/>
    <w:rsid w:val="741F4133"/>
    <w:rsid w:val="743C4319"/>
    <w:rsid w:val="744A5EA4"/>
    <w:rsid w:val="745D0C05"/>
    <w:rsid w:val="74991692"/>
    <w:rsid w:val="749B7992"/>
    <w:rsid w:val="74A57094"/>
    <w:rsid w:val="74CB2099"/>
    <w:rsid w:val="74DE35DB"/>
    <w:rsid w:val="74EB460F"/>
    <w:rsid w:val="75062CD8"/>
    <w:rsid w:val="75077D81"/>
    <w:rsid w:val="753379B0"/>
    <w:rsid w:val="75372CE8"/>
    <w:rsid w:val="756103A4"/>
    <w:rsid w:val="756D06E2"/>
    <w:rsid w:val="7587038F"/>
    <w:rsid w:val="75B52F82"/>
    <w:rsid w:val="75B82788"/>
    <w:rsid w:val="75BE79E3"/>
    <w:rsid w:val="75C12D2B"/>
    <w:rsid w:val="75D7160B"/>
    <w:rsid w:val="75DB19B2"/>
    <w:rsid w:val="75DD687C"/>
    <w:rsid w:val="75F426A1"/>
    <w:rsid w:val="761B7FB5"/>
    <w:rsid w:val="761E7649"/>
    <w:rsid w:val="762B0082"/>
    <w:rsid w:val="763B67EB"/>
    <w:rsid w:val="763F46B4"/>
    <w:rsid w:val="76532D0C"/>
    <w:rsid w:val="765A64B9"/>
    <w:rsid w:val="7696022E"/>
    <w:rsid w:val="769F3400"/>
    <w:rsid w:val="76A97E80"/>
    <w:rsid w:val="76B540DB"/>
    <w:rsid w:val="76B6330F"/>
    <w:rsid w:val="76B84A6B"/>
    <w:rsid w:val="76C46139"/>
    <w:rsid w:val="76D171BB"/>
    <w:rsid w:val="76E039E1"/>
    <w:rsid w:val="76E26FB6"/>
    <w:rsid w:val="76F2395E"/>
    <w:rsid w:val="76F31266"/>
    <w:rsid w:val="77000FA8"/>
    <w:rsid w:val="77040D4E"/>
    <w:rsid w:val="77063A55"/>
    <w:rsid w:val="77201F5A"/>
    <w:rsid w:val="772D539D"/>
    <w:rsid w:val="7738552A"/>
    <w:rsid w:val="77416220"/>
    <w:rsid w:val="77485F97"/>
    <w:rsid w:val="77530EC3"/>
    <w:rsid w:val="777E7888"/>
    <w:rsid w:val="778271A2"/>
    <w:rsid w:val="77827F3C"/>
    <w:rsid w:val="77B55F2E"/>
    <w:rsid w:val="77D8618B"/>
    <w:rsid w:val="77E91EF5"/>
    <w:rsid w:val="781047B3"/>
    <w:rsid w:val="7816305B"/>
    <w:rsid w:val="781F21E5"/>
    <w:rsid w:val="7825161E"/>
    <w:rsid w:val="784255A8"/>
    <w:rsid w:val="785829AF"/>
    <w:rsid w:val="78790078"/>
    <w:rsid w:val="789913C0"/>
    <w:rsid w:val="78997B78"/>
    <w:rsid w:val="78A418EA"/>
    <w:rsid w:val="78CB2F33"/>
    <w:rsid w:val="78DE650C"/>
    <w:rsid w:val="78EE0E4F"/>
    <w:rsid w:val="78F46E96"/>
    <w:rsid w:val="78FC207D"/>
    <w:rsid w:val="78FE5FEE"/>
    <w:rsid w:val="791C38D3"/>
    <w:rsid w:val="79244401"/>
    <w:rsid w:val="7924462B"/>
    <w:rsid w:val="792B2CAD"/>
    <w:rsid w:val="792E0DEE"/>
    <w:rsid w:val="79317A55"/>
    <w:rsid w:val="794562E9"/>
    <w:rsid w:val="794D313C"/>
    <w:rsid w:val="795667EE"/>
    <w:rsid w:val="795A1670"/>
    <w:rsid w:val="79641653"/>
    <w:rsid w:val="79664C14"/>
    <w:rsid w:val="796923EA"/>
    <w:rsid w:val="797263AE"/>
    <w:rsid w:val="79753740"/>
    <w:rsid w:val="799B2828"/>
    <w:rsid w:val="79D93AFA"/>
    <w:rsid w:val="79EA0FFD"/>
    <w:rsid w:val="7A0365DC"/>
    <w:rsid w:val="7A331F08"/>
    <w:rsid w:val="7A3F6347"/>
    <w:rsid w:val="7A4C3830"/>
    <w:rsid w:val="7A671FF3"/>
    <w:rsid w:val="7A73178E"/>
    <w:rsid w:val="7A926788"/>
    <w:rsid w:val="7AA310F2"/>
    <w:rsid w:val="7ACF3C60"/>
    <w:rsid w:val="7ADC7DA0"/>
    <w:rsid w:val="7ADF7839"/>
    <w:rsid w:val="7AE57504"/>
    <w:rsid w:val="7AEC7EBF"/>
    <w:rsid w:val="7B0B7491"/>
    <w:rsid w:val="7B221D52"/>
    <w:rsid w:val="7B28618E"/>
    <w:rsid w:val="7B42499F"/>
    <w:rsid w:val="7B4310C8"/>
    <w:rsid w:val="7B6B4049"/>
    <w:rsid w:val="7B7761D9"/>
    <w:rsid w:val="7B877C54"/>
    <w:rsid w:val="7BC46081"/>
    <w:rsid w:val="7BCB22CD"/>
    <w:rsid w:val="7BE779B4"/>
    <w:rsid w:val="7BFD241F"/>
    <w:rsid w:val="7C0908E9"/>
    <w:rsid w:val="7C17381A"/>
    <w:rsid w:val="7C275A24"/>
    <w:rsid w:val="7C2D6C34"/>
    <w:rsid w:val="7C3779AA"/>
    <w:rsid w:val="7C464BD1"/>
    <w:rsid w:val="7C5465CC"/>
    <w:rsid w:val="7C5A4A36"/>
    <w:rsid w:val="7C5B25F7"/>
    <w:rsid w:val="7C650448"/>
    <w:rsid w:val="7C9317D9"/>
    <w:rsid w:val="7C962608"/>
    <w:rsid w:val="7C9711B4"/>
    <w:rsid w:val="7CA36ACC"/>
    <w:rsid w:val="7CAE532D"/>
    <w:rsid w:val="7CAE73DF"/>
    <w:rsid w:val="7CDB126F"/>
    <w:rsid w:val="7CE36B2C"/>
    <w:rsid w:val="7CEC3BD7"/>
    <w:rsid w:val="7CF40623"/>
    <w:rsid w:val="7D2840E2"/>
    <w:rsid w:val="7D323383"/>
    <w:rsid w:val="7D473E80"/>
    <w:rsid w:val="7D484985"/>
    <w:rsid w:val="7D516F35"/>
    <w:rsid w:val="7D5356AC"/>
    <w:rsid w:val="7D590603"/>
    <w:rsid w:val="7D6A29C1"/>
    <w:rsid w:val="7D766F1F"/>
    <w:rsid w:val="7D7703E4"/>
    <w:rsid w:val="7D89693E"/>
    <w:rsid w:val="7D930D9E"/>
    <w:rsid w:val="7DB92F00"/>
    <w:rsid w:val="7DD110DE"/>
    <w:rsid w:val="7DE72EED"/>
    <w:rsid w:val="7DE73EF7"/>
    <w:rsid w:val="7E210E16"/>
    <w:rsid w:val="7E480029"/>
    <w:rsid w:val="7E4E59A1"/>
    <w:rsid w:val="7E597CD7"/>
    <w:rsid w:val="7E623BDD"/>
    <w:rsid w:val="7E646C40"/>
    <w:rsid w:val="7E682AF4"/>
    <w:rsid w:val="7E907228"/>
    <w:rsid w:val="7E9132FB"/>
    <w:rsid w:val="7EA52415"/>
    <w:rsid w:val="7EC06781"/>
    <w:rsid w:val="7ECF1F3E"/>
    <w:rsid w:val="7EDB452D"/>
    <w:rsid w:val="7EDF109A"/>
    <w:rsid w:val="7EE05793"/>
    <w:rsid w:val="7EE70BC1"/>
    <w:rsid w:val="7EF210A1"/>
    <w:rsid w:val="7EF35C84"/>
    <w:rsid w:val="7F0A4AEC"/>
    <w:rsid w:val="7F1F2CD5"/>
    <w:rsid w:val="7F202501"/>
    <w:rsid w:val="7F2E4DD6"/>
    <w:rsid w:val="7F397C9F"/>
    <w:rsid w:val="7F425028"/>
    <w:rsid w:val="7F511F5F"/>
    <w:rsid w:val="7F7F111A"/>
    <w:rsid w:val="7F9D7279"/>
    <w:rsid w:val="7FC441A9"/>
    <w:rsid w:val="7FED7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2"/>
      <w:lang w:val="en-US" w:eastAsia="zh-CN" w:bidi="ar-SA"/>
    </w:rPr>
  </w:style>
  <w:style w:type="paragraph" w:styleId="2">
    <w:name w:val="heading 1"/>
    <w:basedOn w:val="1"/>
    <w:next w:val="1"/>
    <w:link w:val="92"/>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2"/>
    <w:next w:val="1"/>
    <w:link w:val="102"/>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82"/>
    <w:qFormat/>
    <w:uiPriority w:val="9"/>
    <w:pPr>
      <w:numPr>
        <w:ilvl w:val="2"/>
        <w:numId w:val="2"/>
      </w:numPr>
      <w:tabs>
        <w:tab w:val="clear" w:pos="720"/>
      </w:tabs>
      <w:spacing w:before="260" w:after="76" w:line="416" w:lineRule="auto"/>
      <w:outlineLvl w:val="2"/>
    </w:pPr>
    <w:rPr>
      <w:szCs w:val="32"/>
    </w:rPr>
  </w:style>
  <w:style w:type="paragraph" w:styleId="5">
    <w:name w:val="heading 4"/>
    <w:basedOn w:val="4"/>
    <w:next w:val="1"/>
    <w:link w:val="94"/>
    <w:qFormat/>
    <w:uiPriority w:val="0"/>
    <w:pPr>
      <w:overflowPunct w:val="0"/>
      <w:textAlignment w:val="baseline"/>
      <w:outlineLvl w:val="3"/>
    </w:pPr>
    <w:rPr>
      <w:szCs w:val="28"/>
    </w:rPr>
  </w:style>
  <w:style w:type="paragraph" w:styleId="6">
    <w:name w:val="heading 5"/>
    <w:basedOn w:val="5"/>
    <w:next w:val="1"/>
    <w:link w:val="98"/>
    <w:qFormat/>
    <w:uiPriority w:val="0"/>
    <w:pPr>
      <w:spacing w:beforeLines="50"/>
      <w:outlineLvl w:val="4"/>
    </w:pPr>
    <w:rPr>
      <w:szCs w:val="24"/>
    </w:rPr>
  </w:style>
  <w:style w:type="paragraph" w:styleId="7">
    <w:name w:val="heading 6"/>
    <w:basedOn w:val="1"/>
    <w:next w:val="1"/>
    <w:link w:val="93"/>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3"/>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1"/>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5"/>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jc w:val="both"/>
    </w:pPr>
    <w:rPr>
      <w:kern w:val="2"/>
      <w:sz w:val="21"/>
      <w:szCs w:val="20"/>
    </w:rPr>
  </w:style>
  <w:style w:type="paragraph" w:styleId="13">
    <w:name w:val="caption"/>
    <w:basedOn w:val="1"/>
    <w:next w:val="1"/>
    <w:link w:val="99"/>
    <w:qFormat/>
    <w:uiPriority w:val="0"/>
    <w:pPr>
      <w:tabs>
        <w:tab w:val="left" w:pos="1418"/>
      </w:tabs>
      <w:spacing w:before="120" w:after="120"/>
    </w:pPr>
    <w:rPr>
      <w:b/>
      <w:bCs/>
      <w:szCs w:val="20"/>
    </w:rPr>
  </w:style>
  <w:style w:type="paragraph" w:styleId="14">
    <w:name w:val="Document Map"/>
    <w:basedOn w:val="1"/>
    <w:link w:val="111"/>
    <w:unhideWhenUsed/>
    <w:qFormat/>
    <w:uiPriority w:val="99"/>
    <w:rPr>
      <w:rFonts w:ascii="宋体"/>
      <w:sz w:val="18"/>
      <w:szCs w:val="18"/>
    </w:rPr>
  </w:style>
  <w:style w:type="paragraph" w:styleId="15">
    <w:name w:val="annotation text"/>
    <w:basedOn w:val="1"/>
    <w:link w:val="105"/>
    <w:unhideWhenUsed/>
    <w:qFormat/>
    <w:uiPriority w:val="99"/>
    <w:rPr>
      <w:szCs w:val="20"/>
    </w:rPr>
  </w:style>
  <w:style w:type="paragraph" w:styleId="16">
    <w:name w:val="Body Text"/>
    <w:basedOn w:val="1"/>
    <w:link w:val="85"/>
    <w:qFormat/>
    <w:uiPriority w:val="0"/>
    <w:pPr>
      <w:widowControl w:val="0"/>
      <w:jc w:val="both"/>
    </w:pPr>
    <w:rPr>
      <w:color w:val="000000"/>
      <w:kern w:val="2"/>
      <w:sz w:val="21"/>
      <w:szCs w:val="20"/>
    </w:rPr>
  </w:style>
  <w:style w:type="paragraph" w:styleId="17">
    <w:name w:val="Body Text Indent"/>
    <w:basedOn w:val="1"/>
    <w:link w:val="100"/>
    <w:unhideWhenUsed/>
    <w:qFormat/>
    <w:uiPriority w:val="99"/>
    <w:pPr>
      <w:spacing w:after="120"/>
      <w:ind w:left="360"/>
    </w:pPr>
  </w:style>
  <w:style w:type="paragraph" w:styleId="18">
    <w:name w:val="List 2"/>
    <w:basedOn w:val="1"/>
    <w:unhideWhenUsed/>
    <w:qFormat/>
    <w:uiPriority w:val="99"/>
    <w:pPr>
      <w:ind w:left="851"/>
    </w:pPr>
  </w:style>
  <w:style w:type="paragraph" w:styleId="19">
    <w:name w:val="Plain Text"/>
    <w:basedOn w:val="1"/>
    <w:link w:val="96"/>
    <w:unhideWhenUsed/>
    <w:qFormat/>
    <w:uiPriority w:val="99"/>
    <w:rPr>
      <w:rFonts w:eastAsia="Calibri"/>
      <w:szCs w:val="21"/>
      <w:lang w:eastAsia="en-US"/>
    </w:rPr>
  </w:style>
  <w:style w:type="paragraph" w:styleId="20">
    <w:name w:val="Date"/>
    <w:basedOn w:val="1"/>
    <w:next w:val="1"/>
    <w:link w:val="86"/>
    <w:unhideWhenUsed/>
    <w:qFormat/>
    <w:uiPriority w:val="99"/>
    <w:pPr>
      <w:ind w:left="100" w:leftChars="2500"/>
    </w:pPr>
  </w:style>
  <w:style w:type="paragraph" w:styleId="21">
    <w:name w:val="Balloon Text"/>
    <w:basedOn w:val="1"/>
    <w:link w:val="109"/>
    <w:unhideWhenUsed/>
    <w:qFormat/>
    <w:uiPriority w:val="99"/>
    <w:rPr>
      <w:rFonts w:ascii="Tahoma" w:hAnsi="Tahoma"/>
      <w:sz w:val="16"/>
      <w:szCs w:val="16"/>
    </w:rPr>
  </w:style>
  <w:style w:type="paragraph" w:styleId="22">
    <w:name w:val="footer"/>
    <w:basedOn w:val="1"/>
    <w:link w:val="104"/>
    <w:unhideWhenUsed/>
    <w:qFormat/>
    <w:uiPriority w:val="99"/>
    <w:pPr>
      <w:tabs>
        <w:tab w:val="center" w:pos="4153"/>
        <w:tab w:val="right" w:pos="8306"/>
      </w:tabs>
      <w:snapToGrid w:val="0"/>
    </w:pPr>
    <w:rPr>
      <w:sz w:val="18"/>
      <w:szCs w:val="18"/>
    </w:rPr>
  </w:style>
  <w:style w:type="paragraph" w:styleId="23">
    <w:name w:val="header"/>
    <w:basedOn w:val="1"/>
    <w:link w:val="90"/>
    <w:qFormat/>
    <w:uiPriority w:val="99"/>
    <w:pPr>
      <w:tabs>
        <w:tab w:val="center" w:pos="4536"/>
        <w:tab w:val="right" w:pos="9072"/>
      </w:tabs>
    </w:pPr>
    <w:rPr>
      <w:rFonts w:ascii="Arial" w:hAnsi="Arial" w:eastAsia="MS Mincho"/>
      <w:b/>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88"/>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30">
    <w:name w:val="Strong"/>
    <w:basedOn w:val="29"/>
    <w:qFormat/>
    <w:uiPriority w:val="22"/>
    <w:rPr>
      <w:b/>
    </w:rPr>
  </w:style>
  <w:style w:type="character" w:styleId="31">
    <w:name w:val="Emphasis"/>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paragraph" w:customStyle="1" w:styleId="34">
    <w:name w:val="TH"/>
    <w:basedOn w:val="1"/>
    <w:link w:val="84"/>
    <w:qFormat/>
    <w:uiPriority w:val="0"/>
    <w:pPr>
      <w:keepNext/>
      <w:keepLines/>
      <w:spacing w:before="60" w:after="180"/>
      <w:jc w:val="center"/>
    </w:pPr>
    <w:rPr>
      <w:rFonts w:ascii="Arial" w:hAnsi="Arial"/>
      <w:b/>
      <w:szCs w:val="20"/>
      <w:lang w:eastAsia="en-US"/>
    </w:rPr>
  </w:style>
  <w:style w:type="paragraph" w:customStyle="1" w:styleId="35">
    <w:name w:val="列出段落5"/>
    <w:basedOn w:val="1"/>
    <w:unhideWhenUsed/>
    <w:qFormat/>
    <w:uiPriority w:val="99"/>
    <w:pPr>
      <w:ind w:firstLine="420" w:firstLineChars="200"/>
    </w:pPr>
  </w:style>
  <w:style w:type="paragraph" w:customStyle="1" w:styleId="36">
    <w:name w:val="EQ"/>
    <w:basedOn w:val="1"/>
    <w:next w:val="1"/>
    <w:qFormat/>
    <w:uiPriority w:val="0"/>
    <w:pPr>
      <w:keepLines/>
      <w:tabs>
        <w:tab w:val="center" w:pos="4536"/>
        <w:tab w:val="right" w:pos="9072"/>
      </w:tabs>
      <w:overflowPunct w:val="0"/>
      <w:spacing w:after="180"/>
      <w:textAlignment w:val="baseline"/>
    </w:pPr>
  </w:style>
  <w:style w:type="paragraph" w:customStyle="1" w:styleId="37">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38">
    <w:name w:val="List Paragraph5"/>
    <w:basedOn w:val="1"/>
    <w:qFormat/>
    <w:uiPriority w:val="99"/>
    <w:pPr>
      <w:ind w:firstLine="420" w:firstLineChars="200"/>
    </w:pPr>
  </w:style>
  <w:style w:type="paragraph" w:customStyle="1" w:styleId="39">
    <w:name w:val="CR Cover Page"/>
    <w:qFormat/>
    <w:uiPriority w:val="0"/>
    <w:pPr>
      <w:spacing w:after="120"/>
    </w:pPr>
    <w:rPr>
      <w:rFonts w:ascii="Arial" w:hAnsi="Arial" w:eastAsia="宋体" w:cs="Times New Roman"/>
      <w:sz w:val="21"/>
      <w:szCs w:val="22"/>
      <w:lang w:val="en-GB" w:eastAsia="en-US" w:bidi="ar-SA"/>
    </w:rPr>
  </w:style>
  <w:style w:type="paragraph" w:customStyle="1" w:styleId="40">
    <w:name w:val="TAH"/>
    <w:basedOn w:val="41"/>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1">
    <w:name w:val="TAC"/>
    <w:basedOn w:val="42"/>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2">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3">
    <w:name w:val="列出段落4"/>
    <w:basedOn w:val="1"/>
    <w:qFormat/>
    <w:uiPriority w:val="99"/>
    <w:pPr>
      <w:ind w:firstLine="420" w:firstLineChars="200"/>
    </w:pPr>
  </w:style>
  <w:style w:type="paragraph" w:customStyle="1" w:styleId="44">
    <w:name w:val="LGTdoc_본문"/>
    <w:basedOn w:val="1"/>
    <w:qFormat/>
    <w:uiPriority w:val="0"/>
    <w:pPr>
      <w:widowControl w:val="0"/>
      <w:autoSpaceDE w:val="0"/>
      <w:autoSpaceDN w:val="0"/>
      <w:adjustRightInd w:val="0"/>
      <w:snapToGrid w:val="0"/>
      <w:spacing w:afterLines="50" w:line="264" w:lineRule="auto"/>
      <w:jc w:val="both"/>
    </w:pPr>
    <w:rPr>
      <w:kern w:val="2"/>
      <w:sz w:val="22"/>
      <w:lang w:eastAsia="ko-KR"/>
    </w:rPr>
  </w:style>
  <w:style w:type="paragraph" w:customStyle="1" w:styleId="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6">
    <w:name w:val="TAN"/>
    <w:basedOn w:val="1"/>
    <w:qFormat/>
    <w:uiPriority w:val="0"/>
    <w:pPr>
      <w:keepNext/>
      <w:keepLines/>
      <w:ind w:left="851" w:hanging="851"/>
    </w:pPr>
    <w:rPr>
      <w:rFonts w:ascii="Arial" w:hAnsi="Arial"/>
      <w:sz w:val="18"/>
      <w:szCs w:val="20"/>
      <w:lang w:eastAsia="en-US"/>
    </w:rPr>
  </w:style>
  <w:style w:type="paragraph" w:customStyle="1" w:styleId="47">
    <w:name w:val="列出段落1"/>
    <w:basedOn w:val="1"/>
    <w:qFormat/>
    <w:uiPriority w:val="34"/>
    <w:pPr>
      <w:ind w:left="840" w:leftChars="400"/>
    </w:pPr>
    <w:rPr>
      <w:rFonts w:ascii="Times" w:hAnsi="Times" w:eastAsia="Batang"/>
      <w:szCs w:val="24"/>
      <w:lang w:val="en-GB"/>
    </w:rPr>
  </w:style>
  <w:style w:type="paragraph" w:customStyle="1" w:styleId="48">
    <w:name w:val="修订2"/>
    <w:semiHidden/>
    <w:qFormat/>
    <w:uiPriority w:val="99"/>
    <w:rPr>
      <w:rFonts w:ascii="Times New Roman" w:hAnsi="Times New Roman" w:eastAsia="宋体" w:cs="Times New Roman"/>
      <w:szCs w:val="22"/>
      <w:lang w:val="en-US" w:eastAsia="zh-CN" w:bidi="ar-SA"/>
    </w:rPr>
  </w:style>
  <w:style w:type="paragraph" w:customStyle="1" w:styleId="49">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0">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1">
    <w:name w:val="List Paragraph3"/>
    <w:basedOn w:val="1"/>
    <w:qFormat/>
    <w:uiPriority w:val="99"/>
    <w:pPr>
      <w:ind w:firstLine="420" w:firstLineChars="200"/>
    </w:pPr>
  </w:style>
  <w:style w:type="paragraph" w:customStyle="1" w:styleId="52">
    <w:name w:val="Doc-text2"/>
    <w:basedOn w:val="1"/>
    <w:link w:val="112"/>
    <w:qFormat/>
    <w:uiPriority w:val="0"/>
    <w:pPr>
      <w:tabs>
        <w:tab w:val="left" w:pos="1622"/>
      </w:tabs>
      <w:ind w:left="1622" w:hanging="363"/>
    </w:pPr>
    <w:rPr>
      <w:rFonts w:ascii="Arial" w:hAnsi="Arial" w:eastAsia="MS Mincho"/>
      <w:szCs w:val="24"/>
    </w:rPr>
  </w:style>
  <w:style w:type="paragraph" w:customStyle="1" w:styleId="53">
    <w:name w:val="B2"/>
    <w:basedOn w:val="18"/>
    <w:qFormat/>
    <w:uiPriority w:val="0"/>
  </w:style>
  <w:style w:type="paragraph" w:customStyle="1" w:styleId="54">
    <w:name w:val="TF"/>
    <w:basedOn w:val="34"/>
    <w:link w:val="91"/>
    <w:qFormat/>
    <w:uiPriority w:val="0"/>
    <w:pPr>
      <w:keepNext w:val="0"/>
      <w:spacing w:before="0" w:after="240"/>
    </w:pPr>
    <w:rPr>
      <w:lang w:val="en-GB"/>
    </w:rPr>
  </w:style>
  <w:style w:type="paragraph" w:customStyle="1" w:styleId="55">
    <w:name w:val="z-窗体底端1"/>
    <w:basedOn w:val="1"/>
    <w:next w:val="1"/>
    <w:link w:val="107"/>
    <w:unhideWhenUsed/>
    <w:qFormat/>
    <w:uiPriority w:val="99"/>
    <w:pPr>
      <w:pBdr>
        <w:top w:val="single" w:color="auto" w:sz="6" w:space="1"/>
      </w:pBdr>
      <w:jc w:val="center"/>
    </w:pPr>
    <w:rPr>
      <w:rFonts w:ascii="Arial" w:hAnsi="Arial"/>
      <w:vanish/>
      <w:sz w:val="16"/>
      <w:szCs w:val="16"/>
    </w:rPr>
  </w:style>
  <w:style w:type="paragraph" w:customStyle="1" w:styleId="56">
    <w:name w:val="修订1"/>
    <w:semiHidden/>
    <w:qFormat/>
    <w:uiPriority w:val="99"/>
    <w:rPr>
      <w:rFonts w:ascii="Calibri" w:hAnsi="Calibri" w:eastAsia="宋体" w:cs="Times New Roman"/>
      <w:sz w:val="22"/>
      <w:szCs w:val="22"/>
      <w:lang w:val="en-US" w:eastAsia="zh-CN" w:bidi="ar-SA"/>
    </w:rPr>
  </w:style>
  <w:style w:type="paragraph" w:customStyle="1" w:styleId="57">
    <w:name w:val="_Style 55"/>
    <w:unhideWhenUsed/>
    <w:qFormat/>
    <w:uiPriority w:val="99"/>
    <w:rPr>
      <w:rFonts w:ascii="Times New Roman" w:hAnsi="Times New Roman" w:eastAsia="Times New Roman" w:cs="Times New Roman"/>
      <w:szCs w:val="22"/>
      <w:lang w:val="en-US" w:eastAsia="zh-CN" w:bidi="ar-SA"/>
    </w:rPr>
  </w:style>
  <w:style w:type="paragraph" w:customStyle="1" w:styleId="58">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59">
    <w:name w:val="B3"/>
    <w:basedOn w:val="11"/>
    <w:qFormat/>
    <w:uiPriority w:val="0"/>
    <w:pPr>
      <w:spacing w:after="180"/>
      <w:ind w:left="1135" w:leftChars="0" w:hanging="284" w:firstLineChars="0"/>
    </w:pPr>
    <w:rPr>
      <w:rFonts w:eastAsia="MS Mincho"/>
      <w:szCs w:val="20"/>
      <w:lang w:eastAsia="en-US"/>
    </w:rPr>
  </w:style>
  <w:style w:type="paragraph" w:customStyle="1" w:styleId="60">
    <w:name w:val="RAN1 text"/>
    <w:basedOn w:val="16"/>
    <w:qFormat/>
    <w:uiPriority w:val="0"/>
    <w:rPr>
      <w:rFonts w:eastAsia="MS Mincho"/>
    </w:rPr>
  </w:style>
  <w:style w:type="paragraph" w:customStyle="1" w:styleId="61">
    <w:name w:val="列出段落3"/>
    <w:basedOn w:val="1"/>
    <w:qFormat/>
    <w:uiPriority w:val="99"/>
    <w:pPr>
      <w:ind w:firstLine="420" w:firstLineChars="200"/>
    </w:pPr>
  </w:style>
  <w:style w:type="paragraph" w:customStyle="1" w:styleId="62">
    <w:name w:val="_Style 1"/>
    <w:basedOn w:val="1"/>
    <w:qFormat/>
    <w:uiPriority w:val="34"/>
    <w:pPr>
      <w:ind w:left="840" w:leftChars="400"/>
    </w:pPr>
  </w:style>
  <w:style w:type="paragraph" w:customStyle="1" w:styleId="63">
    <w:name w:val="列出段落2"/>
    <w:basedOn w:val="1"/>
    <w:qFormat/>
    <w:uiPriority w:val="99"/>
    <w:pPr>
      <w:ind w:left="720"/>
      <w:contextualSpacing/>
    </w:pPr>
  </w:style>
  <w:style w:type="paragraph" w:customStyle="1" w:styleId="64">
    <w:name w:val="B1"/>
    <w:basedOn w:val="24"/>
    <w:qFormat/>
    <w:uiPriority w:val="0"/>
  </w:style>
  <w:style w:type="paragraph" w:customStyle="1" w:styleId="65">
    <w:name w:val="List Paragraph1"/>
    <w:basedOn w:val="1"/>
    <w:unhideWhenUsed/>
    <w:qFormat/>
    <w:uiPriority w:val="99"/>
    <w:pPr>
      <w:ind w:firstLine="420" w:firstLineChars="200"/>
    </w:pPr>
  </w:style>
  <w:style w:type="paragraph" w:customStyle="1" w:styleId="66">
    <w:name w:val="列出段落11"/>
    <w:basedOn w:val="1"/>
    <w:link w:val="89"/>
    <w:qFormat/>
    <w:uiPriority w:val="34"/>
    <w:pPr>
      <w:widowControl w:val="0"/>
      <w:ind w:firstLine="420" w:firstLineChars="200"/>
      <w:jc w:val="both"/>
    </w:pPr>
    <w:rPr>
      <w:kern w:val="2"/>
      <w:sz w:val="21"/>
      <w:szCs w:val="24"/>
    </w:rPr>
  </w:style>
  <w:style w:type="paragraph" w:customStyle="1" w:styleId="67">
    <w:name w:val="Revision2"/>
    <w:unhideWhenUsed/>
    <w:qFormat/>
    <w:uiPriority w:val="99"/>
    <w:rPr>
      <w:rFonts w:ascii="Times New Roman" w:hAnsi="Times New Roman" w:eastAsia="Times New Roman" w:cs="Times New Roman"/>
      <w:szCs w:val="22"/>
      <w:lang w:val="en-US" w:eastAsia="zh-CN" w:bidi="ar-SA"/>
    </w:rPr>
  </w:style>
  <w:style w:type="paragraph" w:customStyle="1" w:styleId="68">
    <w:name w:val="List Paragraph7"/>
    <w:basedOn w:val="1"/>
    <w:qFormat/>
    <w:uiPriority w:val="34"/>
    <w:pPr>
      <w:ind w:firstLine="420"/>
    </w:pPr>
    <w:rPr>
      <w:rFonts w:ascii="MS PGothic" w:hAnsi="MS PGothic" w:eastAsia="MS PGothic" w:cs="宋体"/>
      <w:sz w:val="24"/>
      <w:szCs w:val="24"/>
    </w:rPr>
  </w:style>
  <w:style w:type="paragraph" w:customStyle="1" w:styleId="69">
    <w:name w:val="表格文字居左"/>
    <w:basedOn w:val="1"/>
    <w:next w:val="1"/>
    <w:qFormat/>
    <w:uiPriority w:val="0"/>
    <w:pPr>
      <w:widowControl w:val="0"/>
      <w:jc w:val="both"/>
    </w:pPr>
    <w:rPr>
      <w:rFonts w:ascii="Arial" w:hAnsi="Arial" w:cs="宋体"/>
      <w:kern w:val="2"/>
      <w:sz w:val="21"/>
      <w:szCs w:val="20"/>
    </w:rPr>
  </w:style>
  <w:style w:type="paragraph" w:customStyle="1" w:styleId="70">
    <w:name w:val="_Style 3"/>
    <w:basedOn w:val="1"/>
    <w:qFormat/>
    <w:uiPriority w:val="34"/>
    <w:pPr>
      <w:ind w:left="840" w:leftChars="400"/>
    </w:p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US" w:eastAsia="zh-CN" w:bidi="ar-SA"/>
    </w:rPr>
  </w:style>
  <w:style w:type="paragraph" w:customStyle="1" w:styleId="72">
    <w:name w:val="List Paragraph6"/>
    <w:basedOn w:val="1"/>
    <w:qFormat/>
    <w:uiPriority w:val="99"/>
    <w:pPr>
      <w:ind w:firstLine="420" w:firstLineChars="200"/>
    </w:pPr>
  </w:style>
  <w:style w:type="paragraph" w:customStyle="1" w:styleId="73">
    <w:name w:val="tablecell"/>
    <w:basedOn w:val="1"/>
    <w:qFormat/>
    <w:uiPriority w:val="0"/>
    <w:pPr>
      <w:autoSpaceDE w:val="0"/>
      <w:autoSpaceDN w:val="0"/>
      <w:adjustRightInd w:val="0"/>
      <w:snapToGrid w:val="0"/>
      <w:spacing w:before="40" w:after="40"/>
    </w:pPr>
    <w:rPr>
      <w:lang w:eastAsia="en-US"/>
    </w:rPr>
  </w:style>
  <w:style w:type="paragraph" w:customStyle="1" w:styleId="74">
    <w:name w:val="tableheader"/>
    <w:basedOn w:val="1"/>
    <w:qFormat/>
    <w:uiPriority w:val="0"/>
    <w:pPr>
      <w:snapToGrid w:val="0"/>
      <w:spacing w:before="40" w:after="40"/>
      <w:jc w:val="center"/>
    </w:pPr>
    <w:rPr>
      <w:rFonts w:cs="Calibri"/>
      <w:b/>
      <w:bCs/>
      <w:color w:val="000000"/>
      <w:lang w:eastAsia="en-US"/>
    </w:rPr>
  </w:style>
  <w:style w:type="paragraph" w:customStyle="1" w:styleId="75">
    <w:name w:val="Test"/>
    <w:basedOn w:val="1"/>
    <w:qFormat/>
    <w:uiPriority w:val="0"/>
    <w:pPr>
      <w:spacing w:before="60" w:after="60" w:line="280" w:lineRule="atLeast"/>
      <w:ind w:left="2160"/>
      <w:jc w:val="both"/>
    </w:pPr>
    <w:rPr>
      <w:rFonts w:eastAsia="MS Mincho"/>
      <w:szCs w:val="20"/>
      <w:lang w:eastAsia="en-US"/>
    </w:rPr>
  </w:style>
  <w:style w:type="paragraph" w:customStyle="1" w:styleId="76">
    <w:name w:val="main text"/>
    <w:basedOn w:val="1"/>
    <w:link w:val="108"/>
    <w:qFormat/>
    <w:uiPriority w:val="0"/>
    <w:pPr>
      <w:spacing w:before="60" w:after="60" w:line="288" w:lineRule="auto"/>
      <w:ind w:firstLine="200" w:firstLineChars="200"/>
      <w:jc w:val="both"/>
    </w:pPr>
    <w:rPr>
      <w:rFonts w:eastAsia="Malgun Gothic"/>
      <w:szCs w:val="20"/>
      <w:lang w:eastAsia="ko-KR"/>
    </w:rPr>
  </w:style>
  <w:style w:type="paragraph" w:customStyle="1" w:styleId="77">
    <w:name w:val="Revision1"/>
    <w:semiHidden/>
    <w:qFormat/>
    <w:uiPriority w:val="99"/>
    <w:rPr>
      <w:rFonts w:ascii="Times New Roman" w:hAnsi="Times New Roman" w:eastAsia="宋体" w:cs="Times New Roman"/>
      <w:szCs w:val="22"/>
      <w:lang w:val="en-US" w:eastAsia="zh-CN" w:bidi="ar-SA"/>
    </w:rPr>
  </w:style>
  <w:style w:type="paragraph" w:customStyle="1" w:styleId="78">
    <w:name w:val="RAN1 bullet1"/>
    <w:basedOn w:val="1"/>
    <w:qFormat/>
    <w:uiPriority w:val="0"/>
    <w:pPr>
      <w:numPr>
        <w:ilvl w:val="0"/>
        <w:numId w:val="3"/>
      </w:numPr>
    </w:pPr>
  </w:style>
  <w:style w:type="paragraph" w:customStyle="1" w:styleId="79">
    <w:name w:val="List Paragraph2"/>
    <w:basedOn w:val="1"/>
    <w:qFormat/>
    <w:uiPriority w:val="99"/>
    <w:pPr>
      <w:ind w:firstLine="420" w:firstLineChars="200"/>
    </w:pPr>
  </w:style>
  <w:style w:type="paragraph" w:customStyle="1" w:styleId="80">
    <w:name w:val="ZA"/>
    <w:qFormat/>
    <w:uiPriority w:val="0"/>
    <w:pPr>
      <w:widowControl w:val="0"/>
      <w:pBdr>
        <w:bottom w:val="single" w:color="auto" w:sz="12" w:space="1"/>
      </w:pBdr>
      <w:jc w:val="right"/>
    </w:pPr>
    <w:rPr>
      <w:rFonts w:ascii="Arial" w:hAnsi="Arial" w:eastAsia="宋体" w:cs="Times New Roman"/>
      <w:sz w:val="40"/>
      <w:lang w:val="en-US" w:eastAsia="en-US" w:bidi="ar-SA"/>
    </w:rPr>
  </w:style>
  <w:style w:type="paragraph" w:customStyle="1" w:styleId="81">
    <w:name w:val="z-窗体顶端1"/>
    <w:basedOn w:val="1"/>
    <w:next w:val="1"/>
    <w:link w:val="87"/>
    <w:unhideWhenUsed/>
    <w:qFormat/>
    <w:uiPriority w:val="99"/>
    <w:pPr>
      <w:pBdr>
        <w:bottom w:val="single" w:color="auto" w:sz="6" w:space="1"/>
      </w:pBdr>
      <w:jc w:val="center"/>
    </w:pPr>
    <w:rPr>
      <w:rFonts w:ascii="Arial" w:hAnsi="Arial"/>
      <w:vanish/>
      <w:sz w:val="16"/>
      <w:szCs w:val="16"/>
    </w:rPr>
  </w:style>
  <w:style w:type="character" w:customStyle="1" w:styleId="82">
    <w:name w:val="Heading 3 Char"/>
    <w:link w:val="4"/>
    <w:qFormat/>
    <w:uiPriority w:val="9"/>
    <w:rPr>
      <w:rFonts w:ascii="Times New Roman" w:hAnsi="Times New Roman" w:eastAsia="宋体"/>
      <w:b/>
      <w:bCs/>
      <w:sz w:val="24"/>
      <w:szCs w:val="32"/>
      <w:lang w:val="en-US" w:eastAsia="zh-CN"/>
    </w:rPr>
  </w:style>
  <w:style w:type="character" w:customStyle="1" w:styleId="83">
    <w:name w:val="Heading 7 Char"/>
    <w:link w:val="8"/>
    <w:semiHidden/>
    <w:qFormat/>
    <w:uiPriority w:val="9"/>
    <w:rPr>
      <w:b/>
      <w:bCs/>
      <w:sz w:val="24"/>
      <w:szCs w:val="24"/>
      <w:lang w:val="en-US" w:eastAsia="zh-CN"/>
    </w:rPr>
  </w:style>
  <w:style w:type="character" w:customStyle="1" w:styleId="84">
    <w:name w:val="TH Char"/>
    <w:link w:val="34"/>
    <w:qFormat/>
    <w:uiPriority w:val="0"/>
    <w:rPr>
      <w:rFonts w:ascii="Arial" w:hAnsi="Arial"/>
      <w:b/>
      <w:lang w:eastAsia="en-US"/>
    </w:rPr>
  </w:style>
  <w:style w:type="character" w:customStyle="1" w:styleId="85">
    <w:name w:val="Body Text Char"/>
    <w:link w:val="16"/>
    <w:qFormat/>
    <w:uiPriority w:val="0"/>
    <w:rPr>
      <w:rFonts w:ascii="Times New Roman" w:hAnsi="Times New Roman" w:eastAsia="宋体"/>
      <w:color w:val="000000"/>
      <w:kern w:val="2"/>
      <w:sz w:val="21"/>
    </w:rPr>
  </w:style>
  <w:style w:type="character" w:customStyle="1" w:styleId="86">
    <w:name w:val="Date Char"/>
    <w:link w:val="20"/>
    <w:semiHidden/>
    <w:qFormat/>
    <w:uiPriority w:val="99"/>
    <w:rPr>
      <w:sz w:val="22"/>
      <w:szCs w:val="22"/>
    </w:rPr>
  </w:style>
  <w:style w:type="character" w:customStyle="1" w:styleId="87">
    <w:name w:val="z-窗体顶端 Char"/>
    <w:link w:val="81"/>
    <w:semiHidden/>
    <w:qFormat/>
    <w:uiPriority w:val="99"/>
    <w:rPr>
      <w:rFonts w:ascii="Arial" w:hAnsi="Arial" w:cs="Arial"/>
      <w:vanish/>
      <w:sz w:val="16"/>
      <w:szCs w:val="16"/>
    </w:rPr>
  </w:style>
  <w:style w:type="character" w:customStyle="1" w:styleId="88">
    <w:name w:val="Comment Subject Char"/>
    <w:link w:val="26"/>
    <w:semiHidden/>
    <w:qFormat/>
    <w:uiPriority w:val="99"/>
    <w:rPr>
      <w:b/>
      <w:bCs/>
    </w:rPr>
  </w:style>
  <w:style w:type="character" w:customStyle="1" w:styleId="89">
    <w:name w:val="列出段落 Char"/>
    <w:link w:val="66"/>
    <w:qFormat/>
    <w:uiPriority w:val="34"/>
    <w:rPr>
      <w:rFonts w:ascii="Times New Roman" w:hAnsi="Times New Roman"/>
      <w:kern w:val="2"/>
      <w:sz w:val="21"/>
      <w:szCs w:val="24"/>
    </w:rPr>
  </w:style>
  <w:style w:type="character" w:customStyle="1" w:styleId="90">
    <w:name w:val="Header Char"/>
    <w:link w:val="23"/>
    <w:qFormat/>
    <w:uiPriority w:val="99"/>
    <w:rPr>
      <w:rFonts w:ascii="Arial" w:hAnsi="Arial" w:eastAsia="MS Mincho"/>
      <w:b/>
      <w:szCs w:val="24"/>
      <w:lang w:eastAsia="en-US"/>
    </w:rPr>
  </w:style>
  <w:style w:type="character" w:customStyle="1" w:styleId="91">
    <w:name w:val="TF Char"/>
    <w:link w:val="54"/>
    <w:qFormat/>
    <w:uiPriority w:val="0"/>
    <w:rPr>
      <w:rFonts w:ascii="Arial" w:hAnsi="Arial"/>
      <w:b/>
      <w:lang w:val="en-GB" w:eastAsia="en-US"/>
    </w:rPr>
  </w:style>
  <w:style w:type="character" w:customStyle="1" w:styleId="92">
    <w:name w:val="Heading 1 Char"/>
    <w:link w:val="2"/>
    <w:qFormat/>
    <w:uiPriority w:val="99"/>
    <w:rPr>
      <w:rFonts w:ascii="Times New Roman" w:hAnsi="Times New Roman" w:eastAsia="黑体"/>
      <w:b/>
      <w:bCs/>
      <w:sz w:val="30"/>
      <w:szCs w:val="30"/>
      <w:lang w:val="zh-CN" w:eastAsia="zh-CN"/>
    </w:rPr>
  </w:style>
  <w:style w:type="character" w:customStyle="1" w:styleId="93">
    <w:name w:val="Heading 6 Char"/>
    <w:link w:val="7"/>
    <w:semiHidden/>
    <w:qFormat/>
    <w:uiPriority w:val="9"/>
    <w:rPr>
      <w:rFonts w:ascii="Cambria" w:hAnsi="Cambria" w:eastAsia="宋体" w:cs="黑体"/>
      <w:b/>
      <w:bCs/>
      <w:sz w:val="24"/>
      <w:szCs w:val="24"/>
      <w:lang w:val="en-US" w:eastAsia="zh-CN"/>
    </w:rPr>
  </w:style>
  <w:style w:type="character" w:customStyle="1" w:styleId="94">
    <w:name w:val="Heading 4 Char"/>
    <w:link w:val="5"/>
    <w:qFormat/>
    <w:uiPriority w:val="0"/>
    <w:rPr>
      <w:rFonts w:ascii="Times New Roman" w:hAnsi="Times New Roman"/>
      <w:b/>
      <w:sz w:val="28"/>
      <w:szCs w:val="28"/>
      <w:lang w:eastAsia="zh-CN"/>
    </w:rPr>
  </w:style>
  <w:style w:type="character" w:customStyle="1" w:styleId="95">
    <w:name w:val="Heading 9 Char"/>
    <w:link w:val="10"/>
    <w:semiHidden/>
    <w:qFormat/>
    <w:uiPriority w:val="9"/>
    <w:rPr>
      <w:rFonts w:ascii="Cambria" w:hAnsi="Cambria" w:eastAsia="宋体" w:cs="黑体"/>
      <w:sz w:val="21"/>
      <w:szCs w:val="21"/>
      <w:lang w:val="en-US" w:eastAsia="zh-CN"/>
    </w:rPr>
  </w:style>
  <w:style w:type="character" w:customStyle="1" w:styleId="96">
    <w:name w:val="Plain Text Char"/>
    <w:link w:val="19"/>
    <w:qFormat/>
    <w:uiPriority w:val="99"/>
    <w:rPr>
      <w:rFonts w:eastAsia="Calibri"/>
      <w:sz w:val="22"/>
      <w:szCs w:val="21"/>
      <w:lang w:eastAsia="en-US"/>
    </w:rPr>
  </w:style>
  <w:style w:type="character" w:customStyle="1" w:styleId="97">
    <w:name w:val="apple-converted-space"/>
    <w:basedOn w:val="29"/>
    <w:qFormat/>
    <w:uiPriority w:val="0"/>
  </w:style>
  <w:style w:type="character" w:customStyle="1" w:styleId="98">
    <w:name w:val="Heading 5 Char"/>
    <w:link w:val="6"/>
    <w:qFormat/>
    <w:uiPriority w:val="0"/>
    <w:rPr>
      <w:rFonts w:ascii="Times New Roman" w:hAnsi="Times New Roman"/>
      <w:b/>
      <w:sz w:val="24"/>
      <w:szCs w:val="24"/>
      <w:lang w:eastAsia="zh-CN"/>
    </w:rPr>
  </w:style>
  <w:style w:type="character" w:customStyle="1" w:styleId="99">
    <w:name w:val="Caption Char"/>
    <w:link w:val="13"/>
    <w:qFormat/>
    <w:uiPriority w:val="0"/>
    <w:rPr>
      <w:rFonts w:ascii="Times New Roman" w:hAnsi="Times New Roman"/>
      <w:b/>
      <w:bCs/>
    </w:rPr>
  </w:style>
  <w:style w:type="character" w:customStyle="1" w:styleId="100">
    <w:name w:val="Body Text Indent Char"/>
    <w:link w:val="17"/>
    <w:semiHidden/>
    <w:qFormat/>
    <w:uiPriority w:val="99"/>
    <w:rPr>
      <w:sz w:val="22"/>
      <w:szCs w:val="22"/>
    </w:rPr>
  </w:style>
  <w:style w:type="character" w:customStyle="1" w:styleId="101">
    <w:name w:val="Heading 8 Char"/>
    <w:link w:val="9"/>
    <w:semiHidden/>
    <w:qFormat/>
    <w:uiPriority w:val="9"/>
    <w:rPr>
      <w:rFonts w:ascii="Cambria" w:hAnsi="Cambria" w:eastAsia="宋体" w:cs="黑体"/>
      <w:sz w:val="24"/>
      <w:szCs w:val="24"/>
      <w:lang w:val="en-US" w:eastAsia="zh-CN"/>
    </w:rPr>
  </w:style>
  <w:style w:type="character" w:customStyle="1" w:styleId="102">
    <w:name w:val="Heading 2 Char"/>
    <w:link w:val="3"/>
    <w:qFormat/>
    <w:uiPriority w:val="0"/>
    <w:rPr>
      <w:rFonts w:ascii="Times New Roman" w:hAnsi="Times New Roman" w:eastAsia="宋体"/>
      <w:b/>
      <w:bCs/>
      <w:kern w:val="2"/>
      <w:sz w:val="24"/>
      <w:szCs w:val="24"/>
      <w:lang w:val="zh-CN"/>
    </w:rPr>
  </w:style>
  <w:style w:type="character" w:customStyle="1" w:styleId="103">
    <w:name w:val="short_text"/>
    <w:basedOn w:val="29"/>
    <w:qFormat/>
    <w:uiPriority w:val="0"/>
  </w:style>
  <w:style w:type="character" w:customStyle="1" w:styleId="104">
    <w:name w:val="Footer Char"/>
    <w:link w:val="22"/>
    <w:qFormat/>
    <w:uiPriority w:val="99"/>
    <w:rPr>
      <w:sz w:val="18"/>
      <w:szCs w:val="18"/>
    </w:rPr>
  </w:style>
  <w:style w:type="character" w:customStyle="1" w:styleId="105">
    <w:name w:val="Comment Text Char"/>
    <w:basedOn w:val="29"/>
    <w:link w:val="15"/>
    <w:qFormat/>
    <w:uiPriority w:val="99"/>
  </w:style>
  <w:style w:type="character" w:customStyle="1" w:styleId="106">
    <w:name w:val="hps"/>
    <w:basedOn w:val="29"/>
    <w:qFormat/>
    <w:uiPriority w:val="0"/>
  </w:style>
  <w:style w:type="character" w:customStyle="1" w:styleId="107">
    <w:name w:val="z-窗体底端 Char"/>
    <w:link w:val="55"/>
    <w:semiHidden/>
    <w:qFormat/>
    <w:uiPriority w:val="99"/>
    <w:rPr>
      <w:rFonts w:ascii="Arial" w:hAnsi="Arial" w:cs="Arial"/>
      <w:vanish/>
      <w:sz w:val="16"/>
      <w:szCs w:val="16"/>
    </w:rPr>
  </w:style>
  <w:style w:type="character" w:customStyle="1" w:styleId="108">
    <w:name w:val="main text Char"/>
    <w:link w:val="76"/>
    <w:qFormat/>
    <w:uiPriority w:val="0"/>
    <w:rPr>
      <w:rFonts w:ascii="Times New Roman" w:hAnsi="Times New Roman" w:eastAsia="Malgun Gothic"/>
      <w:lang w:eastAsia="ko-KR"/>
    </w:rPr>
  </w:style>
  <w:style w:type="character" w:customStyle="1" w:styleId="109">
    <w:name w:val="Balloon Text Char"/>
    <w:link w:val="21"/>
    <w:semiHidden/>
    <w:qFormat/>
    <w:uiPriority w:val="99"/>
    <w:rPr>
      <w:rFonts w:ascii="Tahoma" w:hAnsi="Tahoma" w:cs="Tahoma"/>
      <w:sz w:val="16"/>
      <w:szCs w:val="16"/>
    </w:rPr>
  </w:style>
  <w:style w:type="character" w:customStyle="1" w:styleId="110">
    <w:name w:val="keyword"/>
    <w:basedOn w:val="29"/>
    <w:qFormat/>
    <w:uiPriority w:val="0"/>
  </w:style>
  <w:style w:type="character" w:customStyle="1" w:styleId="111">
    <w:name w:val="Document Map Char"/>
    <w:link w:val="14"/>
    <w:semiHidden/>
    <w:qFormat/>
    <w:uiPriority w:val="99"/>
    <w:rPr>
      <w:rFonts w:ascii="宋体"/>
      <w:sz w:val="18"/>
      <w:szCs w:val="18"/>
    </w:rPr>
  </w:style>
  <w:style w:type="character" w:customStyle="1" w:styleId="112">
    <w:name w:val="Doc-text2 Char"/>
    <w:link w:val="52"/>
    <w:qFormat/>
    <w:uiPriority w:val="0"/>
    <w:rPr>
      <w:rFonts w:ascii="Arial" w:hAnsi="Arial" w:eastAsia="MS Mincho"/>
      <w:szCs w:val="24"/>
    </w:rPr>
  </w:style>
  <w:style w:type="paragraph" w:customStyle="1" w:styleId="113">
    <w:name w:val="Style1"/>
    <w:basedOn w:val="1"/>
    <w:qFormat/>
    <w:uiPriority w:val="0"/>
    <w:pPr>
      <w:spacing w:after="100" w:afterAutospacing="1" w:line="300" w:lineRule="auto"/>
      <w:ind w:firstLine="360"/>
      <w:contextualSpacing/>
      <w:jc w:val="both"/>
    </w:pPr>
    <w:rPr>
      <w:rFonts w:eastAsia="宋体"/>
      <w:szCs w:val="20"/>
    </w:rPr>
  </w:style>
  <w:style w:type="paragraph" w:customStyle="1" w:styleId="114">
    <w:name w:val="样式 正文缩进d + 首行缩进:  2 字符 段前: 0.35 行"/>
    <w:basedOn w:val="12"/>
    <w:qFormat/>
    <w:uiPriority w:val="0"/>
    <w:pPr>
      <w:adjustRightInd w:val="0"/>
      <w:spacing w:beforeLines="35" w:line="460" w:lineRule="exact"/>
      <w:ind w:firstLine="560"/>
    </w:pPr>
    <w:rPr>
      <w:rFonts w:cs="宋体"/>
    </w:rPr>
  </w:style>
  <w:style w:type="paragraph" w:customStyle="1" w:styleId="115">
    <w:name w:val="Revision3"/>
    <w:hidden/>
    <w:semiHidden/>
    <w:qFormat/>
    <w:uiPriority w:val="99"/>
    <w:rPr>
      <w:rFonts w:ascii="Times New Roman" w:hAnsi="Times New Roman" w:eastAsia="Times New Roman" w:cs="Times New Roman"/>
      <w:szCs w:val="22"/>
      <w:lang w:val="en-US" w:eastAsia="zh-CN" w:bidi="ar-SA"/>
    </w:rPr>
  </w:style>
  <w:style w:type="character" w:customStyle="1" w:styleId="116">
    <w:name w:val="TAC Char"/>
    <w:link w:val="41"/>
    <w:qFormat/>
    <w:uiPriority w:val="0"/>
    <w:rPr>
      <w:rFonts w:ascii="Arial" w:hAnsi="Arial" w:eastAsia="Times New Roman" w:cs="Times New Roman"/>
      <w:sz w:val="18"/>
      <w:lang w:eastAsia="en-US"/>
    </w:rPr>
  </w:style>
  <w:style w:type="character" w:customStyle="1" w:styleId="117">
    <w:name w:val="TAH Car"/>
    <w:link w:val="40"/>
    <w:qFormat/>
    <w:uiPriority w:val="0"/>
    <w:rPr>
      <w:rFonts w:ascii="Arial" w:hAnsi="Arial" w:eastAsia="Times New Roman" w:cs="Times New Roman"/>
      <w:b/>
      <w:sz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919</Words>
  <Characters>5244</Characters>
  <Lines>43</Lines>
  <Paragraphs>12</Paragraphs>
  <TotalTime>1</TotalTime>
  <ScaleCrop>false</ScaleCrop>
  <LinksUpToDate>false</LinksUpToDate>
  <CharactersWithSpaces>6151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2019-11-09T00:23:00Z</dcterms:created>
  <dc:creator>ZTE</dc:creator>
  <cp:lastModifiedBy>ZTE</cp:lastModifiedBy>
  <dcterms:modified xsi:type="dcterms:W3CDTF">2020-08-06T11:22:43Z</dcterms:modified>
  <dc:title>Full Tx Power</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